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shd w:val="25pct" w:color="FF000" w:fill="FFFF00"/>
        </w:rPr>
        <w:t>2025.02.21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shd w:val="25pct" w:color="FF000" w:fill="FFFF00"/>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shd w:val="25pct" w:color="FF000" w:fill="FFFF00"/>
        </w:rPr>
        <w:t>ՀՀ ՆԳՆ ԷԱՃԱՊՁԲ-2025/Ա-53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shd w:val="25pct" w:color="FF000" w:fill="FFFF00"/>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shd w:val="25pct" w:color="FF000" w:fill="FFFF00"/>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shd w:val="25pct" w:color="FF000" w:fill="FFFF00"/>
        </w:rPr>
        <w:t>ՀՀ ՆԳՆ կարիքների համար կենցաղային ապրանքների ձեռքբերում ՀՀ ՆԳՆ ԷԱՃԱՊՁԲ-2025/Ա-53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shd w:val="25pct" w:color="FF000" w:fill="FFFF00"/>
        </w:rPr>
        <w:t>---</w:t>
      </w:r>
      <w:r w:rsidR="00357D48" w:rsidRPr="00857ECA">
        <w:rPr>
          <w:rFonts w:ascii="Calibri" w:hAnsi="Calibri" w:cs="Calibri"/>
          <w:i w:val="0"/>
          <w:lang w:val="af-ZA"/>
        </w:rPr>
        <w:t>-րդ օրվա ժամը</w:t>
      </w:r>
      <w:r w:rsidR="005C0411" w:rsidRPr="00857ECA">
        <w:rPr>
          <w:rFonts w:ascii="Calibri" w:hAnsi="Calibri" w:cs="Calibri"/>
          <w:i w:val="0"/>
          <w:lang w:val="af-ZA"/>
          <w:shd w:val="25pct" w:color="FF000" w:fill="FFFF00"/>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shd w:val="25pct" w:color="FF000" w:fill="FFFF00"/>
        </w:rPr>
        <w:t>---</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shd w:val="25pct" w:color="FF000" w:fill="FFFF00"/>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shd w:val="25pct" w:color="FF000" w:fill="FFFF00"/>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shd w:val="25pct" w:color="FF000" w:fill="FFFF00"/>
        </w:rPr>
        <w:t>010596021, Պատասխանատու ստորաբաժանում՝ 012317848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shd w:val="25pct" w:color="FF000" w:fill="FFFF00"/>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shd w:val="25pct" w:color="FF000" w:fill="FFFF00"/>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shd w:val="25pct" w:color="FF000" w:fill="FFFF00"/>
        </w:rPr>
        <w:t>ՀՀ ՆԳՆ ԷԱՃԱՊՁԲ-2025/Ա-53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shd w:val="25pct" w:color="FF000" w:fill="FFFF00"/>
        </w:rPr>
        <w:t>2025.02.21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shd w:val="25pct" w:color="FF000" w:fill="FFFF00"/>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shd w:val="25pct" w:color="FF000" w:fill="FFFF00"/>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shd w:val="25pct" w:color="FF000" w:fill="FFFF00"/>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shd w:val="25pct" w:color="FF000" w:fill="FFFF00"/>
        </w:rPr>
        <w:t>ՀՀ ՆԳՆ կարիքների համար կենցաղային ապրանքների ձեռքբերում ՀՀ ՆԳՆ ԷԱՃԱՊՁԲ-2025/Ա-53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shd w:val="25pct" w:color="FF000" w:fill="FFFF00"/>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shd w:val="25pct" w:color="FF000" w:fill="FFFF00"/>
        </w:rPr>
        <w:t>ՀՀ ՆԳՆ կարիքների համար կենցաղային ապրանքների ձեռքբերում ՀՀ ՆԳՆ ԷԱՃԱՊՁԲ-2025/Ա-53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shd w:val="25pct" w:color="FF000" w:fill="FFFF00"/>
        </w:rPr>
        <w:t>ՀՀ ՆԳՆ ԷԱՃԱՊՁԲ-2025/Ա-53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shd w:val="25pct" w:color="FF000" w:fill="FFFF00"/>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shd w:val="25pct" w:color="FF000" w:fill="FFFF00"/>
        </w:rPr>
        <w:t>ՀՀ ՆԳՆ կարիքների համար կենցաղային ապրանքների ձեռքբերում ՀՀ ՆԳՆ ԷԱՃԱՊՁԲ-2025/Ա-53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shd w:val="25pct" w:color="FF000" w:fill="FFFF0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139080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1806080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4524800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8340735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զուգարանի թուղթ, ռուլոնով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shd w:val="25pct" w:color="FF000" w:fill="FFFF00"/>
        </w:rPr>
        <w:t>---</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shd w:val="25pct" w:color="FF000" w:fill="FFFF00"/>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shd w:val="25pct" w:color="FF000" w:fill="FFFF00"/>
        </w:rPr>
        <w:t>395.31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shd w:val="25pct" w:color="FF000" w:fill="FFFF00"/>
        </w:rPr>
        <w:t>4.4703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shd w:val="25pct" w:color="FF000" w:fill="FFFF00"/>
        </w:rPr>
        <w:t>412.82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shd w:val="25pct" w:color="FF000" w:fill="FFFF00"/>
        </w:rPr>
        <w:t>2025.03.05.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shd w:val="25pct" w:color="FF000" w:fill="FFFF00"/>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shd w:val="25pct" w:color="FF000" w:fill="FFFF00"/>
        </w:rPr>
        <w:t>ՀՀ ՆԳՆ ԷԱՃԱՊՁԲ-2025/Ա-53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shd w:val="25pct" w:color="FF000" w:fill="FFFF00"/>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shd w:val="25pct" w:color="FF000" w:fill="FFFF00"/>
        </w:rPr>
        <w:t>ՀՀ ՆԳՆ ԷԱՃԱՊՁԲ-2025/Ա-53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shd w:val="25pct" w:color="FF000" w:fill="FFFF00"/>
        </w:rPr>
        <w:t>ՀՀ ՆԳՆ ԷԱՃԱՊՁԲ-2025/Ա-53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730 օրացուցային օրը  /5-րդ չափաբաժնի համար/: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Միկրոֆիբրե լաթ 40 x 40 սմ չափսից ոչ պակաս, քաշը 60 գրամից ոչ պակաս: Հիանալի փայլեցնում է՝ չթողնելով հետքեր, բազմակի օգտագործման համար, մանրաթելային լաթը 4 անգամ ավելի էֆեկտիվ է, քան սովորական լաթը, պիտանի է նաև ավտոլվացման համար, գույնը կապույտ և դեղին հավասարաչափ կեսով։ Բաղադրությունը՝ պոլիամիդ 20%, պոլիեսթեր 80% կամ նմանատիպը, լաթի մի անկյունում կտորե  պիտակ, վրան նշված  տեղեկատվություններ: Աննա Զարադնա, Դոմի, Վիլեդա, Առոմա Լյուքս, Զեբրա, Միկրոֆիբրե ավտոլվացման լաթ, Ստելլա ապրանքանիշների։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Աշխատանքային ձեռնոցներ բանվորական պատված հաստ ներկաշերտով, միայն N 10 չափսի, մեկ զույգի քաշը՝ 42գ-ից ոչ պակաս։ 
Գյումրի, Արթիկ, Տոտալ, Նազրիզ, Դոնգ Շենգ ապրանքանիշների։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Փայտյա հատակ մաքրելու ձողափայտ, հղկված, լաքապատված: Լվացող մասի երկարությունը 31.5 սմ-ից ոչ պակաս, պոչի երկարությունը 150 սմ-ց ոչ պակաս, ընդհանուր քաշը 850 գրամից ոչ պակաս: Լվացող մասը սոսնձված և պտուտակով ձգված պոչին:
Մատակարարված ապրանքի որակական հատկանիշների անհամապատասխանելիության դեպքում մատակարարը պարտավորվում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Եռաշերտ հիգիենիկ սեղանի փափուկ  անձեռոցիկներ, ստվարաթղթե  տուփով։ Ստվարաթղթե տուփի երկարությունը 16,5սմ-ից  ոչ պակաս, լայնությունը 11սմ-ից ոչ պակաս, բարձրությունը 6սմ-ից ոչ պակաս։ Տուփի վրա նշումներ՝ բաղադրության, արտադրողի և այլ տվյալներ։  Բաղադրությունը 100% ցելյուլոզա։ Թերթիկների քանակը 100 հատ։ Պահպանման ժամկետը` անսահմանափակ։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Էներգախնայող լուսադիոդային լամպ 15վտ/լեդ / շիկացման լամպի առնվազն 150 վտ-ին համարժեք լուսատվությունից  ոչ պակաս, էկո խմբի, աչքերին չվնասող, սնդիկ չպարունակող: Տանձաձև, կոթառը E27, լարումը 170-264վ, պաշտպանված է էլեկտրականության լարման տատանումներից /հաճախականությունը 50-60 հերց: Լուսային հոսքը 85 լյումենից ոչ պակաս: Գունային ջերմաստիճանը 4000-4500 կելվինից ոչ պակաս, ցրման անկյունը 360 աստիճանից ոչ պակաս, աշխատանքային ժամկետը 30000 ժամից ոչ պակաս: Աշխատանքային ջերմաստիճանը -25-50C, 60 աստիճան ջերմության դեպքում ավտոմատ անջատվում է (պարտադիր չափանիշ): Միացումների քանակը 50000 անգամից ոչ պակաս: Ակնթարթային միացում: Աշխատում է նաև ավտոմատ անջատիչով: Լամպի բարձրությունը 110մմ–ից ոչ պակաս (հարմար է առկա ջահերի համար), լայնությունը 60մմ-ից ոչ պակաս: Նեյտրալ լույս: Երաշխիքը 2 տարուց ոչ պակաս, որը պարտադիր նշված լինի տուփի վրա: Փաթեթավորումը ստվարաթղթե գունավոր տուփով, վրան նշումներ արտադրողի մասին, անվանումը և պահանջվող տեխ. հատկանիշները: Երաշխիքային սպասարկումը 24 ժամվա ընթացքում մատակարարի կողմից: Գեներալ, Սմարթ բայ, Ֆիլիպս, Էրա, Ին հոմ ապրանքանիշների։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Ամուր տոպրակ  32x47 սմ չափսից ոչ պակաս, հիմքի չափսը 32սմ, վերին չափսը 47սմ, վերին մասին գումարած 14սմ-ոց բռնակներ։ Արտադրված՝ վերամշակված հումքից։ Փաթեթավորված՝ փաթեթի մեջ 100 հատ։ Փաթեթի քաշը 1040գ-ից ոչ պակաս։ Հաստությունը 90 միկրոնից ոչ պակաս։ Գույնը սև կամ մուգ կապույտ։ Ստորին մասը ամուր փակված, որ դիմանա մինչև 40կգ ծանրությամբ ապրանքին։ Նոր գործարանային։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Մատակարարված ապրանքի որակական անհամապատասխանելիության դեպքում մատակարար կազմակերպությունը իր միջոցների հաշվին պետք է ներկայացնի փորձաքննության տվյալներ հավատարմագրված կազմակերպության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Մանրահատակի, լամինատե հատակների մաքրող, խնամող հեղուկ։ Հատուկ բարձր ճնշման   պոլիէթիլենային 1 լիտրանոց տարաներով, (ոչ պլաստիկ) տարայի պատի հաստությունը առնվազն 1.2մմ: Մաքրում, փայլեցնում և պահպանում է հատակը ուռչելուց, խոնավ հետքերից, ջրի բացասական ազդեցությունից։
Բաղադրությունը - 5% նեինոգենային Պավ,  5% անիոնային Պավ, 5%  Էդտա և նրա աղերը, կիտրոնի կոնսերվանտ, մեթիլքլորիզոցիազոլինոն, բրոմ, նիտրոպրոպան, դիոլ, ներկանյութ։ Լյուդվիգ, Վիեռ, Լինա, Առոմա Լյուքս, Սիլիտ Բենկ, Ֆրոշ ապրանքանիշների։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Հատակի լաթ  50 x 100սմ չափսից ոչ պակաս՝ բազմակի  օգտագործման համար: Կառուցվածքի մեջ ներառվում  է բամբակ, պոլիէսթեր, պոլիպրոպիլեն, մետաքսաթելով կարերը ուղղահայաց և հորիզոնական,  լվանալուց և քամելուց չի պատռվում: Գույնը սպիտակ: Քաշը 80գ-ից ոչ պակաս։ Ֆրեկեն բոկ,  Ադանաս, Ստեպ,Դոմի, Առոմա Լյուքս, Զեբրա, Աննա Զարադնա ապրանքանիշների։  Մատակարարված ապրանքի որակական հատկանիշների անհամապատասխանելիության դեպքում, մատակարարը պարտավոր է ներկայացնել հավաստող սերտիֆիկատ կամ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Գոգաթիակ՝ աղբը հավաքելու համար, ձողով։ Արտասահմանյան  արտադրության։ Երկարությունը 100սմ։ Ավելի և գոգաթիակի ձողը մետաղյա։ Բռնակները պլաստմասսայից։ Տարողունակ գոգաթիակ, հավաքող եզրը 27սմ, ռետինապատ։ Գոգաթիակի խորությունը 20սմ։ Ավելի ավլող մասի լայնքը 24սմ։ Ավելի բարձրությունը 23սմ, մազերի երկարությունը 12սմ։ Ընդհանուր քաշը 782գր։ Գոգաթիակի քաշը 415գր։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Պլաստմասե, 10լ․ ոչ պակաս տարողության։ ՀՍՏ  124-2007, անվտանգությունը, մակնշում և փաթեթավորումը ըստ ՀՀ կառավարության 2005թ․ մայիսի N679-Ն որոշմամբ հաստատված ««Սննդամթերքի հետ շփվող պոլիմերային և դրանց հիմքով պլաստմասսայի արտադրանքների տեխնիկական  կանոնակարգի»»։ Քաշը առնվազն 511գրամից ոչ պակաս, պատի հաստությունը առնվազն 1․2մմ։ Վերին մասի տրամագիծը 27սմ-ից ոչ պակաս։ Ստորին մասը 18,5սմ-ից ոչ պակաս։ Պլաստմասե հաստ բռնակով։ Մատակարարված ապրանքի որակական հատկանիշների անհամապատասխանելիության դեպքում մատակարարը պարտավորվում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Բարձր որակի սպիտակեցնող և ախտահանող հեղուկ, ունիվերսալ ժավել, համասեռ հեղուկ առանց կողմնակի ներխառնուրդների: Դեղնականաչավուն գույնի, թույլ քլորի հոտով: Ակտիվ քլորի զանգվածային մասը 50գ/դմ3–ից ոչ  պակաս /պարտադիր չափանիշ/: Նատրիումի հիդրօքսիդի զանգվածային մասը 20 գ/դմ3–ից ոչ պակաս /պարտադիր չափանիշ/: Ջրածնային իոնների խտությունը՝ PH-10-12: Նախատեսված է բամբակե, վուշե գործվածքները սպիտակեցնելու, կեղտաբծերը հեռացնելու համար: Օգտագործվում է նաև արծնապատված, ճենապակյա, հախճապակյա սպասքը, երեսպատման սալիկները, զուգարանակոնքերը և աղբամանները լվանալու և ախտահանելու համար: Բաղադրության մեջ մտնող ակտիվ հավելանյութերը գործվածքները պաշտպանում են փչանալուց: Նախատեսված է նաև կիսաավտոմատ և ավտոմատ լվացքի մեքենաների համար: Հատուկ բարձր ճնշման   պոլիէթիլենային 1 լիտրանոց տարաներով, (ոչ պլաստիկ) տարայի պատի հաստությունը առնվազն 1.2մմ: Դեզքլոր, Առոմա Լյուքս, Միստեր ջին, Սանիտա, Բելիզնա, Լինա ապրանքանիշների։
Յուրաքանչյուրը գունավոր պիտակավորված, վրան  նշումներ, հայերեն լեզվով, անվան, քաշի,  բաղադրության,  օգտագործման նպատակի և ձևի, պիտանելիության ժամկետի և արտադրողի վերաբերյալ /հասցե, հեռախոս, էլ. Փոստ/ Ապրանքը մատակարարելիս պիտանելիության ժամկետի ավարտին մնացած  լինի առնվազն 18 ամիս: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Երկշերտ զուգարանի փափուկ թուղթ, լայնքը 95 մմ-ից ոչ պակաս, ընդհանուր քաշը 120գ-ից ոչ պակաս, թղթի կտրման տեղերը ակուսավոր կետ գծերով 133 մմ հեռավորությամբ՝ 300 թերթից, թղթի փաթեթի տրամագիծը 100 մմ-ից ոչ պակաս, կենտրոնում ստվարաթղթե գլան տեղադրման համար, տրամագիծը 45մմ –ից ոչ ավել: Գույնը սպիտակ: Պատրաստված 100% ցելյուլոզայից, ջրում անմիջապես քայքայվի և լուծվի։ Պահպանման ժամկետը անսահմանափակ: Մատակարարված ապրանքի որակական հատկանիշների անհամապատասխանելիության դեպքում մատակարարը պարտավորվում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42773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42773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Պայմանագիրն ուժի մեջ մտնելուց հետո 40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