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ՀՀԱՄՄՀ-ԷԱՃԱՊՁԲ-25/17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ՀՀԱՄՄՀ-ԷԱՃԱՊՁԲ-25/17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ՀՀԱՄՄՀ-ԷԱՃԱՊՁԲ-25/17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ՀՀԱՄՄՀ-ԷԱՃԱՊՁԲ-25/17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ՀՀԱՄՄՀ-ԷԱՃԱՊՁԲ-25/17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звукового давления на расстоянии одного метра от оси в дБ не менее 120+/-20% дБ.
Диапазон чистоты звука 400-450 Гц.
Частота электропитания 45-55 Гц.
Напряжение питания 380+/-10%.
Скорость вращения 2800-3200 в минуту.
Габаритные размеры 700-800 мм.
Высота 500-600 мм.
Вес не более 70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Сирена C-40E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звукового давления на расстоянии одного метра от оси дБ не менее 120+/-20%.
Диапазон чистоты звука 400-500 Гц.
Частота электропитания 45-55 Гц.
Напряжение питания 220+/-10%.
Скорость вращения 2800-3200 оборотов в минуту.
Габаритные размеры 600-700 мм.
Вес не более 60 кг. Устройство работает от однофазного тока. Монтаж осуществляется поставщиком бесплатно.Устройство работает от трехфазного тока. Монтаж осуществляется поставщиком бесплатно.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община Мецамор, согласно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община Мецамор, согласно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и в графе расчет срока будет будет производиться в течения 20 календарных дней после вступления в силу договора (соглашения), заключаемого между сторонами, в случае выделения финансовых средств (за исключением случая, когда выбранный участник согласится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