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2025.02.21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ՀԿԱԾ-ԷԱՃԱՇՁԲ-25/34</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СЛУЖБА ОБЕСПЕЧЕНИЯ ПРИНУДИТЕЛЬНОГО ИСПОЛНЕНИЯ</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Республика Армения, г. Ереван, ул. Алабяна 41а</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Электронный аукцион на закупку услуг печати и доставки для нужд ЦСДП по коду ՀԿԱԾ-ԷԱՃԱՇՁԲ-25/34</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12:15</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12:15</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Армен Хачатрян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gnumner@harkadir.am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060-713591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СЛУЖБА ОБЕСПЕЧЕНИЯ ПРИНУДИТЕЛЬНОГО ИСПОЛНЕНИЯ</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ՀԿԱԾ-ԷԱՃԱՇՁԲ-25/34</w:t>
      </w:r>
      <w:r w:rsidRPr="006840EA">
        <w:rPr>
          <w:rFonts w:ascii="Calibri" w:hAnsi="Calibri" w:cs="Times Armenian"/>
          <w:i/>
          <w:lang w:val="ru-RU"/>
        </w:rPr>
        <w:br/>
      </w:r>
      <w:r w:rsidR="00A57090" w:rsidRPr="006840EA">
        <w:rPr>
          <w:rFonts w:ascii="Calibri" w:hAnsi="Calibri" w:cstheme="minorHAnsi"/>
          <w:szCs w:val="20"/>
          <w:lang w:val="af-ZA"/>
        </w:rPr>
        <w:t>2025.02.21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СЛУЖБА ОБЕСПЕЧЕНИЯ ПРИНУДИТЕЛЬНОГО ИСПОЛНЕНИЯ</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СЛУЖБА ОБЕСПЕЧЕНИЯ ПРИНУДИТЕЛЬНОГО ИСПОЛНЕНИЯ</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Электронный аукцион на закупку услуг печати и доставки для нужд ЦСДП по коду ՀԿԱԾ-ԷԱՃԱՇՁԲ-25/34</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Электронный аукцион на закупку услуг печати и доставки для нужд ЦСДП по коду ՀԿԱԾ-ԷԱՃԱՇՁԲ-25/34</w:t>
      </w:r>
      <w:r w:rsidR="00410048" w:rsidRPr="006840EA">
        <w:rPr>
          <w:rFonts w:ascii="Calibri" w:hAnsi="Calibri"/>
          <w:b/>
          <w:lang w:val="ru-RU"/>
        </w:rPr>
        <w:t xml:space="preserve">ДЛЯ НУЖД </w:t>
      </w:r>
      <w:r w:rsidR="00BC2486" w:rsidRPr="00BC2486">
        <w:rPr>
          <w:rFonts w:ascii="Calibri" w:hAnsi="Calibri" w:cs="Calibri"/>
          <w:b/>
          <w:u w:val="single"/>
          <w:lang w:val="af-ZA"/>
        </w:rPr>
        <w:t>СЛУЖБА ОБЕСПЕЧЕНИЯ ПРИНУДИТЕЛЬНОГО ИСПОЛНЕНИЯ</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ՀԿԱԾ-ԷԱՃԱՇՁԲ-25/34</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gnumner@harkadir.am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Электронный аукцион на закупку услуг печати и доставки для нужд ЦСДП по коду ՀԿԱԾ-ԷԱՃԱՇՁԲ-25/34</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7</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12:15</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394.41</w:t>
      </w:r>
      <w:r w:rsidRPr="00F23835">
        <w:rPr>
          <w:rFonts w:ascii="Calibri" w:hAnsi="Calibri"/>
          <w:szCs w:val="22"/>
        </w:rPr>
        <w:t>драмом, российский рубль</w:t>
      </w:r>
      <w:r w:rsidRPr="004F59D5">
        <w:rPr>
          <w:rFonts w:ascii="Calibri" w:hAnsi="Calibri" w:cs="Calibri"/>
          <w:szCs w:val="22"/>
          <w:lang w:val="af-ZA"/>
        </w:rPr>
        <w:t>4.4576</w:t>
      </w:r>
      <w:r w:rsidRPr="00F23835">
        <w:rPr>
          <w:rFonts w:ascii="Calibri" w:hAnsi="Calibri"/>
          <w:szCs w:val="22"/>
        </w:rPr>
        <w:t xml:space="preserve"> драмом, евро </w:t>
      </w:r>
      <w:r w:rsidRPr="00B37B19">
        <w:rPr>
          <w:rFonts w:ascii="Calibri" w:hAnsi="Calibri" w:cs="Calibri"/>
          <w:szCs w:val="22"/>
          <w:lang w:val="af-ZA"/>
        </w:rPr>
        <w:t>412.67</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2025.03.05. 12:15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rsidRPr="007C1C49">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7C1C49">
        <w:rPr>
          <w:lang w:val="ru-RU"/>
        </w:rP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ՀԿԱԾ-ԷԱՃԱՇՁԲ-25/34</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w:t>
      </w:r>
      <w:r w:rsidRPr="0039542B">
        <w:rPr>
          <w:rFonts w:ascii="Calibri" w:hAnsi="Calibri" w:cstheme="minorHAnsi"/>
          <w:sz w:val="20"/>
          <w:lang w:val="ru-RU"/>
        </w:rPr>
        <w:t xml:space="preserve">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w:t>
      </w:r>
      <w:bookmarkStart w:id="0" w:name="_GoBack"/>
      <w:bookmarkEnd w:id="0"/>
      <w:r>
        <w:rPr>
          <w:rFonts w:ascii="Calibri" w:hAnsi="Calibri" w:cstheme="minorHAnsi"/>
          <w:lang w:val="ru-RU"/>
        </w:rPr>
        <w:t>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7C1C49"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7C1C49"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7C1C49"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7C1C49"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7C1C49"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"ՀԿԱԾ-ԷԱՃԱՇՁԲ-25/34"</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ՀԿԱԾ-ԷԱՃԱՇՁԲ-25/34*.</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"ՀԿԱԾ-ԷԱՃԱՇՁԲ-25/34"</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ՀԿԱԾ-ԷԱՃԱՇՁԲ-25/34*.</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ՀԿԱԾ-ԷԱՃԱՇՁԲ-25/34</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течение 30 календарных дней после выделения соответствующих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течение 30 календарных дней после выделения соответствующих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течение 30 календарных дней после выделения соответствующих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течение 30 календарных дней после выделения соответствующих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течение 30 календарных дней после выделения соответствующих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течение 30 календарных дней после выделения соответствующих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течение 30 календарных дней после выделения соответствующих средств, но не позднее 10.12.2025.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7C1C49"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7C1C49"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w:t>
      </w:r>
      <w:r w:rsidRPr="007C1C49">
        <w:rPr>
          <w:rFonts w:cstheme="minorHAnsi"/>
          <w:i/>
          <w:color w:val="000000" w:themeColor="text1"/>
          <w:lang w:val="ru-RU"/>
        </w:rPr>
        <w:t xml:space="preserve"> </w:t>
      </w:r>
      <w:r w:rsidRPr="007C1C49">
        <w:rPr>
          <w:rFonts w:cstheme="minorHAnsi"/>
          <w:i/>
          <w:color w:val="000000" w:themeColor="text1"/>
          <w:lang w:val="ru-RU"/>
        </w:rPr>
        <w:t>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359" w:rsidRDefault="00EA0359" w:rsidP="00C97A7D">
      <w:pPr>
        <w:spacing w:line="240" w:lineRule="auto"/>
      </w:pPr>
      <w:r>
        <w:separator/>
      </w:r>
    </w:p>
  </w:endnote>
  <w:endnote w:type="continuationSeparator" w:id="0">
    <w:p w:rsidR="00EA0359" w:rsidRDefault="00EA0359"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359" w:rsidRDefault="00EA0359" w:rsidP="00C97A7D">
      <w:pPr>
        <w:spacing w:line="240" w:lineRule="auto"/>
      </w:pPr>
      <w:r>
        <w:separator/>
      </w:r>
    </w:p>
  </w:footnote>
  <w:footnote w:type="continuationSeparator" w:id="0">
    <w:p w:rsidR="00EA0359" w:rsidRDefault="00EA0359"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w:t>
      </w:r>
      <w:r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4">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D0BD4"/>
    <w:rsid w:val="00EE034C"/>
    <w:rsid w:val="00EE4809"/>
    <w:rsid w:val="00EF3975"/>
    <w:rsid w:val="00EF50DB"/>
    <w:rsid w:val="00EF678D"/>
    <w:rsid w:val="00F04563"/>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6C5E1"/>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2CAC8-1D95-4DD4-85F1-FA2400C9F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64</Pages>
  <Words>15882</Words>
  <Characters>90529</Characters>
  <Application>Microsoft Office Word</Application>
  <DocSecurity>0</DocSecurity>
  <Lines>754</Lines>
  <Paragraphs>212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298</cp:revision>
  <dcterms:created xsi:type="dcterms:W3CDTF">2020-06-23T11:07:00Z</dcterms:created>
  <dcterms:modified xsi:type="dcterms:W3CDTF">2025-01-23T06:29:00Z</dcterms:modified>
</cp:coreProperties>
</file>