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роз для нужд муниципалитета Нор Ачин:ԿՄՆՀՀ ԷԱՃԱՊՁԲ25/11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tatevik.hovhannisyan.81@internet.ru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ԷԱՃԱՊՁԲ25/11</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роз для нужд муниципалитета Нор Ачин:ԿՄՆՀՀ ԷԱՃԱՊՁԲ25/11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роз для нужд муниципалитета Нор Ачин:ԿՄՆՀՀ ԷԱՃԱՊՁԲ25/11</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tatevik.hovhannisyan.81@internet.ru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роз для нужд муниципалитета Нор Ачин:ԿՄՆՀՀ ԷԱՃԱՊՁԲ25/11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Цветок: роза 70см
Розы голландского типа, не менее 70 см, свежий кокон, розового, белого, желтого или другого цвета, упакованные в прозрачную бумагу для упаковки/упаковки и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Цветочная роза 60 см Розы голландского типа, не менее 60 см, свежий кокон, розового, белого, желтого или другого цвета, упакованные в прозрачную бумагу, предназначенную для упаковки /упаковка и цвет по предварительному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когда покупателю необходимо приобрести товар, до 25 декабря 2025 года. Осуществить доставку на следующий календарный день после получения заказа (если иные даты не указаны заказчиком) и доставить по указанному заказчиком адресу на территории общины Нор Ачн.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