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ՍՄ-ՄՀ-ԷԱՃԱՊՁԲ-25/01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Վառելիքը մատակարարվելու է անմիջապես Մեղրի համայնքի տարածաշրջանում գործող լցակայանից, օրվա ցանկացած ժամի, ցանկացած քանակությամբ:Վճարումը ամսվա կտրվածքով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 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