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203-Ա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աղբամանների/մեծ/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203-Ա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աղբամանների/մեծ/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աղբամանների/մեծ/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աղբամանների/մեծ/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ՍՄՍՀ-ԷԱՃԱՊՁԲ-25/7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աղբարկղ 1100Լ Ծավալը՝ 1100լ Երկարությունը՝ 1260 մմ ±5% Երկարությունը ներառյալ աղբատարի մանիպուլյատորի համար նախատեսված բռնակները՝ 1377 մմ ±5% Խորությունը՝ 1077 մմ ±5% Բարձրությունը՝ 1369 մմ ±5% Քաշը՝ 50 կգ ±5% Բեռնատարողությունը առանց աղբարկղի քաշի՝ առնվազն 440կգ Գույնը՝ կանաչ Անիվների տրամագիծը՝ 200 մմ Գործարանային երաշխիքը՝ 1 տարի Աղբարկղի նկարագրությունը՝ Կառուցվածքը, պարամետրերը և անվտանգության պահանջները պետք է համապատասխանեն EN 840, RAL-GZ 951, ISO 9001 և ISO 14001 ստանդարտների պահանջներին: Նյութը՝ բարձր խտայնության ցածր ճնշման առաջնային հումքի (HDPE) պոլիէթիլեն։ Աղբարկղի իրանի բոլոր պատերը պետք է ունենան ուղղահայաց առնվազն երկու ամրության գոտիներ՝ աղբարկղի կառուցվածքը ամրապնդելու համար: Աղբարկղը պետք է տեղակայված լինի շարժական 4 անիվների վրա, որոնք պետք է ամրացված լինեն կոնտեյների կաղապարի հետ մետաղական կոնստրուկցիայի միջոցով։ Անիվների նյութը՝ պետք է լինի բարձր խտայնության պոլիէթիլենից, սև գույնի, իսկ անվադողերի նյութը՝ ռետինե, բարձր խտայնության - 200 մմ տրամագծով։ Անիվներից 2-ը պետք է ունենան արգելակման համակարգ։ Անիվները պետք է պտտվեն ուղղաձիգ առանցքի շուրջ։ Անվադողերը /անիվները/ պետք ունենան փոխարինման հնարավորություն։ Աղբատարի մանիպուլատորի բռնիչի համար նախատասված կողային բռնակները պետք է ամրացված լինեն աղբարկղի իրանին առնվազն 11 կետում, յուրաքանչյուր կողմից /աջ և ձախ հատվածներում/։ Աղբարկղը պետք է ունենան լրացուցիչ ամրացնող կառուցվածք՝ աղբատարի մանիպուլյատորի բռնիչի համար։ Վերևի մասում պետք է ունենան ոչ պակաս երկու ծխնիների միջոցով բացվող կափարիչ, որն ունի բացելու համար նախատեսված առնվազն երեք բռնակ, երկուսը՝ կողային, մեկը՝ ճակատային։ Աղբարկղը պետք է ունենա վավեր ISO 9001, ISO 14001, RAL-GZ 951 և EN 840 ստանդարտներին համապատասխանության սերտիֆիկատներ, որոնց ներկայացումը մատակարարման ժամանակ պարտադիր է: EN 840 ստանդարտին համապատասխանության սերտիֆիկատի մեջ պետք է հստակ արտացոլված լինի սերտիֆիկացնող մարմնի կողմից փորձարկման ենթարկված ապրանքների քանակը, դրանց ծավալը, քաշը, բեռնատարողությունը, չափերը, օգտագործված նյութը, անիվների տրամագիծը: Առավելագույն թույլատրելի շեղումները աղբարկղերի պարամետրերում կազմում է ±5%: Նշված շեղումները չեն թույլատրվում աղբարկղերի ծավալների նկատմամբ՝ ծավալը պետք է լինի առնվազն 1100լ։ Նախքան ապրանքի մատակարարումը մատակարարը պարտավոր է պատվիրատուին ներկայացնել նմուշ։ Նմուշը հաստատելուց հետո մատակարարել։ Հաստատված նմուշը կնվազեցվի մատակարարման եթակա քանակից։ Նմուշի հաստատման ու մատակարարման ընդհանուր քանակները պետք է իրականացվեն պայմանագրով սահմանված մատակարարման ժամանակացույցով։ Մատակարարումը և աղբամանների տեղադրումը իրականացվելու է մատակարարի կողմից՝ Սիսիան խոշորացված համայնքի տարբեր բնակավայրերում։ Ապրանքի տեխնիկական պայմանների ակնհայտ անհամապատասխանության առկայության դեպքում, պատվիրատուի պատահական ընտրությամբ մեկ հատ մատակարարի հաշվին պետք է ենթարկվի ՀՀ պետական փորձաքննության և պատվիրատուին ներկայացնի փորձաքննության եզրակացություն առաջարկվող ապրանքը վերոհիշյալ տեխնիկական պայմանների համապատասխանության վերաբերյալ։ Աղբարկղը պետք է լինի նոր , արտադրությունը 2024-2025թթ., նախկինում չօգտագործված և չվերանորոգված: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Ն․ Ադոնցի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