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2025.02.25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ՀԾԿՀ-25/5-ԷԱՃԾՁԲ</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հանրային ծառայությունները կարգավորող հանձնաժողով</w:t>
      </w:r>
      <w:r w:rsidRPr="002C08AA">
        <w:rPr>
          <w:rFonts w:ascii="Calibri" w:hAnsi="Calibri" w:cs="Calibri"/>
          <w:i w:val="0"/>
          <w:lang w:val="af-ZA"/>
        </w:rPr>
        <w:t xml:space="preserve">, որը գտնվում է </w:t>
      </w:r>
      <w:r w:rsidR="00B974F2" w:rsidRPr="00B974F2">
        <w:rPr>
          <w:rFonts w:ascii="Calibri" w:hAnsi="Calibri" w:cs="Calibri"/>
          <w:i w:val="0"/>
          <w:lang w:val="af-ZA"/>
        </w:rPr>
        <w:t>Սարյան 22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Ներքին աուդիտի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Հայկ Կոշեցյան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015580808-112</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hkoshetsyan@psrc.am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հանրային ծառայությունները կարգավորող հանձնաժողով</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ՀԾԿՀ-25/5-ԷԱՃԾՁԲ</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2025.02.25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հանրային ծառայությունները կարգավորող հանձնաժողով</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հանրային ծառայությունները կարգավորող հանձնաժողով</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Ներքին աուդիտի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հանրային ծառայությունները կարգավորող հանձնաժողով</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Ներքին աուդիտի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ՀԾԿՀ-25/5-ԷԱՃԾՁԲ</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hkoshetsyan@psrc.am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Ներքին աուդիտի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393.9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4.4772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412.81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2025.03.10. 15:00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ՀԾԿՀ-25/5-ԷԱՃԾՁԲ</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հանրային ծառայությունները կարգավորող հանձնաժողով</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ՀԾԿՀ-25/5-ԷԱՃԾՁԲ</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«ՀԾԿՀ-25/5-ԷԱՃԾՁԲ»*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հանրային ծառայությունները կարգավորող հանձնաժողով*  (այսուհետ` Պատվիրատու) կողմից կազմակերպված` ՀԾԿՀ-25/5-ԷԱՃԾՁԲ*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«ՀԾԿՀ-25/5-ԷԱՃԾՁԲ»*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հանրային ծառայությունները կարգավորող հանձնաժողով*  (այսուհետ` Պատվիրատու) կողմից կազմակերպված` ՀԾԿՀ-25/5-ԷԱՃԾՁԲ*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հաշվառված լիելու օրվանից հաշված՝ մինչև 2025 թվականի դեկտեմբերի 20-ը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