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B96C4" w14:textId="77777777" w:rsidR="00E74D76" w:rsidRPr="00112110" w:rsidRDefault="00E74D76" w:rsidP="00AA52CE">
      <w:pPr>
        <w:pStyle w:val="2"/>
        <w:rPr>
          <w:rFonts w:ascii="Sylfaen" w:hAnsi="Sylfaen"/>
          <w:color w:val="auto"/>
          <w:lang w:eastAsia="ru-RU"/>
        </w:rPr>
      </w:pPr>
    </w:p>
    <w:p w14:paraId="5673BBD6" w14:textId="77777777" w:rsidR="00E74D76" w:rsidRPr="00112110" w:rsidRDefault="005059AF" w:rsidP="00AA52CE">
      <w:pPr>
        <w:spacing w:after="0" w:line="240" w:lineRule="auto"/>
        <w:jc w:val="center"/>
        <w:rPr>
          <w:rFonts w:ascii="Sylfaen" w:eastAsia="Times New Roman" w:hAnsi="Sylfaen" w:cs="Times New Roman"/>
          <w:b/>
          <w:sz w:val="18"/>
          <w:szCs w:val="18"/>
          <w:lang w:eastAsia="ru-RU"/>
        </w:rPr>
      </w:pPr>
      <w:r w:rsidRPr="00112110">
        <w:rPr>
          <w:rFonts w:ascii="Sylfaen" w:eastAsia="Times New Roman" w:hAnsi="Sylfaen" w:cs="Times New Roman"/>
          <w:b/>
          <w:sz w:val="18"/>
          <w:szCs w:val="18"/>
          <w:lang w:val="en-US" w:eastAsia="ru-RU"/>
        </w:rPr>
        <w:t>Ապրանքների</w:t>
      </w:r>
      <w:r w:rsidRPr="00112110">
        <w:rPr>
          <w:rFonts w:ascii="Sylfaen" w:eastAsia="Times New Roman" w:hAnsi="Sylfaen" w:cs="Times New Roman"/>
          <w:b/>
          <w:sz w:val="18"/>
          <w:szCs w:val="18"/>
          <w:lang w:eastAsia="ru-RU"/>
        </w:rPr>
        <w:t xml:space="preserve"> </w:t>
      </w:r>
      <w:r w:rsidRPr="00112110">
        <w:rPr>
          <w:rFonts w:ascii="Sylfaen" w:eastAsia="Times New Roman" w:hAnsi="Sylfaen" w:cs="Times New Roman"/>
          <w:b/>
          <w:sz w:val="18"/>
          <w:szCs w:val="18"/>
          <w:lang w:val="en-US" w:eastAsia="ru-RU"/>
        </w:rPr>
        <w:t>տեխնիկական</w:t>
      </w:r>
      <w:r w:rsidRPr="00112110">
        <w:rPr>
          <w:rFonts w:ascii="Sylfaen" w:eastAsia="Times New Roman" w:hAnsi="Sylfaen" w:cs="Times New Roman"/>
          <w:b/>
          <w:sz w:val="18"/>
          <w:szCs w:val="18"/>
          <w:lang w:eastAsia="ru-RU"/>
        </w:rPr>
        <w:t xml:space="preserve"> </w:t>
      </w:r>
      <w:r w:rsidRPr="00112110">
        <w:rPr>
          <w:rFonts w:ascii="Sylfaen" w:eastAsia="Times New Roman" w:hAnsi="Sylfaen" w:cs="Times New Roman"/>
          <w:b/>
          <w:sz w:val="18"/>
          <w:szCs w:val="18"/>
          <w:lang w:val="en-US" w:eastAsia="ru-RU"/>
        </w:rPr>
        <w:t>բնութագիր</w:t>
      </w:r>
    </w:p>
    <w:tbl>
      <w:tblPr>
        <w:tblpPr w:leftFromText="180" w:rightFromText="180" w:vertAnchor="text" w:horzAnchor="margin" w:tblpXSpec="center" w:tblpY="435"/>
        <w:tblW w:w="10008" w:type="dxa"/>
        <w:tblLayout w:type="fixed"/>
        <w:tblLook w:val="04A0" w:firstRow="1" w:lastRow="0" w:firstColumn="1" w:lastColumn="0" w:noHBand="0" w:noVBand="1"/>
      </w:tblPr>
      <w:tblGrid>
        <w:gridCol w:w="236"/>
        <w:gridCol w:w="723"/>
        <w:gridCol w:w="1399"/>
        <w:gridCol w:w="7650"/>
      </w:tblGrid>
      <w:tr w:rsidR="00AA52CE" w:rsidRPr="00AA52CE" w14:paraId="38E4007B" w14:textId="77777777" w:rsidTr="00004572">
        <w:trPr>
          <w:trHeight w:val="279"/>
        </w:trPr>
        <w:tc>
          <w:tcPr>
            <w:tcW w:w="236" w:type="dxa"/>
            <w:tcBorders>
              <w:top w:val="nil"/>
              <w:left w:val="nil"/>
              <w:bottom w:val="nil"/>
              <w:right w:val="nil"/>
            </w:tcBorders>
            <w:shd w:val="clear" w:color="auto" w:fill="auto"/>
            <w:noWrap/>
            <w:vAlign w:val="bottom"/>
          </w:tcPr>
          <w:p w14:paraId="1305BB15" w14:textId="77777777" w:rsidR="00AA52CE" w:rsidRPr="00112110" w:rsidRDefault="00AA52CE" w:rsidP="00AA52CE">
            <w:pPr>
              <w:spacing w:after="0" w:line="240" w:lineRule="auto"/>
              <w:rPr>
                <w:rFonts w:ascii="Sylfaen" w:eastAsia="Times New Roman" w:hAnsi="Sylfaen" w:cs="Times New Roman"/>
                <w:sz w:val="18"/>
                <w:szCs w:val="18"/>
                <w:lang w:eastAsia="ru-RU"/>
              </w:rPr>
            </w:pPr>
          </w:p>
        </w:tc>
        <w:tc>
          <w:tcPr>
            <w:tcW w:w="723" w:type="dxa"/>
            <w:tcBorders>
              <w:top w:val="single" w:sz="4" w:space="0" w:color="auto"/>
              <w:left w:val="single" w:sz="4" w:space="0" w:color="auto"/>
              <w:bottom w:val="single" w:sz="4" w:space="0" w:color="auto"/>
              <w:right w:val="single" w:sz="4" w:space="0" w:color="auto"/>
            </w:tcBorders>
            <w:shd w:val="clear" w:color="auto" w:fill="auto"/>
          </w:tcPr>
          <w:p w14:paraId="5DE6D644" w14:textId="77777777" w:rsidR="00AA52CE" w:rsidRPr="00AA52CE" w:rsidRDefault="00AA52CE" w:rsidP="00AA52CE">
            <w:pPr>
              <w:spacing w:after="0" w:line="240" w:lineRule="auto"/>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Չ/Հ</w:t>
            </w:r>
          </w:p>
        </w:tc>
        <w:tc>
          <w:tcPr>
            <w:tcW w:w="1399" w:type="dxa"/>
            <w:tcBorders>
              <w:top w:val="single" w:sz="4" w:space="0" w:color="auto"/>
              <w:left w:val="nil"/>
              <w:bottom w:val="single" w:sz="4" w:space="0" w:color="auto"/>
              <w:right w:val="single" w:sz="4" w:space="0" w:color="auto"/>
            </w:tcBorders>
            <w:shd w:val="clear" w:color="auto" w:fill="auto"/>
            <w:vAlign w:val="bottom"/>
          </w:tcPr>
          <w:p w14:paraId="7BB6CD09" w14:textId="77777777" w:rsidR="00AA52CE" w:rsidRPr="00AA52CE" w:rsidRDefault="00AA52CE" w:rsidP="00AA52CE">
            <w:pPr>
              <w:spacing w:after="0" w:line="240" w:lineRule="auto"/>
              <w:jc w:val="center"/>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Անվանումը</w:t>
            </w:r>
          </w:p>
        </w:tc>
        <w:tc>
          <w:tcPr>
            <w:tcW w:w="7650" w:type="dxa"/>
            <w:tcBorders>
              <w:top w:val="single" w:sz="4" w:space="0" w:color="auto"/>
              <w:left w:val="nil"/>
              <w:bottom w:val="single" w:sz="4" w:space="0" w:color="auto"/>
              <w:right w:val="single" w:sz="4" w:space="0" w:color="auto"/>
            </w:tcBorders>
            <w:shd w:val="clear" w:color="auto" w:fill="auto"/>
            <w:vAlign w:val="bottom"/>
          </w:tcPr>
          <w:p w14:paraId="2EE4C669" w14:textId="77777777" w:rsidR="00AA52CE" w:rsidRPr="00AA52CE" w:rsidRDefault="00AA52CE" w:rsidP="00AA52CE">
            <w:pPr>
              <w:spacing w:after="0" w:line="240" w:lineRule="auto"/>
              <w:jc w:val="center"/>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Բնութագիրը</w:t>
            </w:r>
          </w:p>
        </w:tc>
      </w:tr>
      <w:tr w:rsidR="00AA52CE" w:rsidRPr="00AA52CE" w14:paraId="0D17E8E9" w14:textId="77777777" w:rsidTr="00004572">
        <w:trPr>
          <w:trHeight w:val="279"/>
        </w:trPr>
        <w:tc>
          <w:tcPr>
            <w:tcW w:w="236" w:type="dxa"/>
            <w:tcBorders>
              <w:top w:val="nil"/>
              <w:left w:val="nil"/>
              <w:bottom w:val="nil"/>
              <w:right w:val="nil"/>
            </w:tcBorders>
            <w:shd w:val="clear" w:color="auto" w:fill="auto"/>
            <w:noWrap/>
            <w:vAlign w:val="bottom"/>
          </w:tcPr>
          <w:p w14:paraId="1DF345D4" w14:textId="77777777" w:rsidR="00AA52CE" w:rsidRPr="00AA52CE" w:rsidRDefault="00AA52CE" w:rsidP="00AA52CE">
            <w:pPr>
              <w:spacing w:after="0" w:line="240" w:lineRule="auto"/>
              <w:rPr>
                <w:rFonts w:ascii="Sylfaen" w:eastAsia="Times New Roman" w:hAnsi="Sylfaen" w:cs="Times New Roman"/>
                <w:sz w:val="18"/>
                <w:szCs w:val="18"/>
                <w:lang w:eastAsia="ru-RU"/>
              </w:rPr>
            </w:pPr>
          </w:p>
        </w:tc>
        <w:tc>
          <w:tcPr>
            <w:tcW w:w="723" w:type="dxa"/>
            <w:tcBorders>
              <w:top w:val="nil"/>
              <w:left w:val="single" w:sz="4" w:space="0" w:color="auto"/>
              <w:bottom w:val="single" w:sz="4" w:space="0" w:color="auto"/>
              <w:right w:val="single" w:sz="4" w:space="0" w:color="auto"/>
            </w:tcBorders>
            <w:shd w:val="clear" w:color="auto" w:fill="auto"/>
          </w:tcPr>
          <w:p w14:paraId="18CA9303" w14:textId="77777777" w:rsidR="00AA52CE" w:rsidRPr="00AA52CE" w:rsidRDefault="00AA52CE" w:rsidP="00AA52CE">
            <w:pPr>
              <w:spacing w:after="0" w:line="240" w:lineRule="auto"/>
              <w:jc w:val="center"/>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1</w:t>
            </w:r>
          </w:p>
        </w:tc>
        <w:tc>
          <w:tcPr>
            <w:tcW w:w="1399" w:type="dxa"/>
            <w:tcBorders>
              <w:top w:val="nil"/>
              <w:left w:val="nil"/>
              <w:bottom w:val="single" w:sz="4" w:space="0" w:color="auto"/>
              <w:right w:val="single" w:sz="4" w:space="0" w:color="auto"/>
            </w:tcBorders>
            <w:shd w:val="clear" w:color="auto" w:fill="auto"/>
            <w:vAlign w:val="bottom"/>
          </w:tcPr>
          <w:p w14:paraId="2E768806" w14:textId="77777777" w:rsidR="00AA52CE" w:rsidRPr="00AA52CE" w:rsidRDefault="00AA52CE" w:rsidP="00AA52CE">
            <w:pPr>
              <w:spacing w:after="0" w:line="240" w:lineRule="auto"/>
              <w:jc w:val="center"/>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2</w:t>
            </w:r>
          </w:p>
        </w:tc>
        <w:tc>
          <w:tcPr>
            <w:tcW w:w="7650" w:type="dxa"/>
            <w:tcBorders>
              <w:top w:val="nil"/>
              <w:left w:val="nil"/>
              <w:bottom w:val="single" w:sz="4" w:space="0" w:color="auto"/>
              <w:right w:val="single" w:sz="4" w:space="0" w:color="auto"/>
            </w:tcBorders>
            <w:shd w:val="clear" w:color="auto" w:fill="auto"/>
            <w:vAlign w:val="bottom"/>
          </w:tcPr>
          <w:p w14:paraId="144D0EEC" w14:textId="77777777" w:rsidR="00AA52CE" w:rsidRPr="00AA52CE" w:rsidRDefault="00AA52CE" w:rsidP="00AA52CE">
            <w:pPr>
              <w:spacing w:after="0" w:line="240" w:lineRule="auto"/>
              <w:jc w:val="center"/>
              <w:rPr>
                <w:rFonts w:ascii="Sylfaen" w:eastAsia="Times New Roman" w:hAnsi="Sylfaen" w:cs="Times New Roman"/>
                <w:b/>
                <w:bCs/>
                <w:sz w:val="18"/>
                <w:szCs w:val="18"/>
                <w:lang w:eastAsia="ru-RU"/>
              </w:rPr>
            </w:pPr>
            <w:r w:rsidRPr="00AA52CE">
              <w:rPr>
                <w:rFonts w:ascii="Sylfaen" w:eastAsia="Times New Roman" w:hAnsi="Sylfaen" w:cs="Times New Roman"/>
                <w:b/>
                <w:bCs/>
                <w:sz w:val="18"/>
                <w:szCs w:val="18"/>
                <w:lang w:eastAsia="ru-RU"/>
              </w:rPr>
              <w:t>3</w:t>
            </w:r>
          </w:p>
        </w:tc>
      </w:tr>
      <w:tr w:rsidR="00AA52CE" w:rsidRPr="00AA52CE" w14:paraId="21CAB78C" w14:textId="77777777" w:rsidTr="00004572">
        <w:trPr>
          <w:trHeight w:val="434"/>
        </w:trPr>
        <w:tc>
          <w:tcPr>
            <w:tcW w:w="236" w:type="dxa"/>
            <w:tcBorders>
              <w:top w:val="nil"/>
              <w:left w:val="nil"/>
              <w:bottom w:val="nil"/>
              <w:right w:val="nil"/>
            </w:tcBorders>
            <w:shd w:val="clear" w:color="auto" w:fill="auto"/>
            <w:noWrap/>
            <w:vAlign w:val="bottom"/>
          </w:tcPr>
          <w:p w14:paraId="353A0865" w14:textId="77777777" w:rsidR="00AA52CE" w:rsidRPr="00AA52CE" w:rsidRDefault="00AA52CE" w:rsidP="00AA52CE">
            <w:pPr>
              <w:spacing w:after="0" w:line="240" w:lineRule="auto"/>
              <w:rPr>
                <w:rFonts w:ascii="Sylfaen" w:eastAsia="Times New Roman" w:hAnsi="Sylfaen" w:cs="Times New Roman"/>
                <w:sz w:val="18"/>
                <w:szCs w:val="18"/>
                <w:lang w:eastAsia="ru-RU"/>
              </w:rPr>
            </w:pPr>
          </w:p>
        </w:tc>
        <w:tc>
          <w:tcPr>
            <w:tcW w:w="723" w:type="dxa"/>
            <w:tcBorders>
              <w:top w:val="nil"/>
              <w:left w:val="single" w:sz="4" w:space="0" w:color="auto"/>
              <w:bottom w:val="single" w:sz="4" w:space="0" w:color="auto"/>
              <w:right w:val="single" w:sz="4" w:space="0" w:color="auto"/>
            </w:tcBorders>
            <w:shd w:val="clear" w:color="auto" w:fill="auto"/>
            <w:noWrap/>
            <w:vAlign w:val="center"/>
          </w:tcPr>
          <w:p w14:paraId="0E60D40D" w14:textId="38951F02" w:rsidR="00AA52CE" w:rsidRPr="002D13B4" w:rsidRDefault="002D13B4" w:rsidP="00AA52CE">
            <w:pPr>
              <w:spacing w:after="0" w:line="240" w:lineRule="auto"/>
              <w:jc w:val="center"/>
              <w:rPr>
                <w:rFonts w:ascii="Sylfaen" w:eastAsia="Times New Roman" w:hAnsi="Sylfaen" w:cs="Calibri"/>
                <w:sz w:val="24"/>
                <w:szCs w:val="24"/>
                <w:lang w:val="en-US" w:eastAsia="ru-RU"/>
              </w:rPr>
            </w:pPr>
            <w:r>
              <w:rPr>
                <w:rFonts w:ascii="Sylfaen" w:eastAsia="Times New Roman" w:hAnsi="Sylfaen" w:cs="Calibri"/>
                <w:sz w:val="24"/>
                <w:szCs w:val="24"/>
                <w:lang w:val="en-US" w:eastAsia="ru-RU"/>
              </w:rPr>
              <w:t>9</w:t>
            </w:r>
          </w:p>
        </w:tc>
        <w:tc>
          <w:tcPr>
            <w:tcW w:w="1399" w:type="dxa"/>
            <w:tcBorders>
              <w:top w:val="nil"/>
              <w:left w:val="nil"/>
              <w:bottom w:val="single" w:sz="4" w:space="0" w:color="auto"/>
              <w:right w:val="single" w:sz="4" w:space="0" w:color="auto"/>
            </w:tcBorders>
            <w:shd w:val="clear" w:color="auto" w:fill="auto"/>
          </w:tcPr>
          <w:p w14:paraId="33B3A388" w14:textId="77777777" w:rsidR="00AA52CE" w:rsidRPr="00AA52CE" w:rsidRDefault="00AA52CE" w:rsidP="00AA52CE">
            <w:pPr>
              <w:spacing w:after="0" w:line="240" w:lineRule="auto"/>
              <w:rPr>
                <w:rFonts w:ascii="Sylfaen" w:eastAsia="Times New Roman" w:hAnsi="Sylfaen" w:cs="Times New Roman"/>
                <w:sz w:val="18"/>
                <w:szCs w:val="18"/>
                <w:lang w:eastAsia="ru-RU"/>
              </w:rPr>
            </w:pPr>
            <w:r w:rsidRPr="00AA52CE">
              <w:rPr>
                <w:rFonts w:ascii="Sylfaen" w:eastAsia="Times New Roman" w:hAnsi="Sylfaen" w:cs="Times New Roman"/>
                <w:sz w:val="18"/>
                <w:szCs w:val="18"/>
                <w:lang w:eastAsia="ru-RU"/>
              </w:rPr>
              <w:t>Թուղթ 1</w:t>
            </w:r>
          </w:p>
        </w:tc>
        <w:tc>
          <w:tcPr>
            <w:tcW w:w="7650" w:type="dxa"/>
            <w:tcBorders>
              <w:top w:val="nil"/>
              <w:left w:val="nil"/>
              <w:bottom w:val="single" w:sz="4" w:space="0" w:color="auto"/>
              <w:right w:val="single" w:sz="4" w:space="0" w:color="auto"/>
            </w:tcBorders>
            <w:shd w:val="clear" w:color="auto" w:fill="auto"/>
            <w:vAlign w:val="bottom"/>
          </w:tcPr>
          <w:p w14:paraId="0D9563B6" w14:textId="77777777" w:rsidR="00AA52CE" w:rsidRPr="00AA52CE" w:rsidRDefault="00AA52CE" w:rsidP="00AA52CE">
            <w:pPr>
              <w:spacing w:after="0" w:line="240" w:lineRule="auto"/>
              <w:rPr>
                <w:rFonts w:ascii="Sylfaen" w:eastAsia="Times New Roman" w:hAnsi="Sylfaen" w:cs="Times New Roman"/>
                <w:sz w:val="18"/>
                <w:szCs w:val="18"/>
                <w:lang w:val="hy-AM" w:eastAsia="ru-RU"/>
              </w:rPr>
            </w:pPr>
            <w:r w:rsidRPr="00AA52CE">
              <w:rPr>
                <w:rFonts w:ascii="Sylfaen" w:eastAsia="Times New Roman" w:hAnsi="Sylfaen" w:cs="Times New Roman"/>
                <w:sz w:val="18"/>
                <w:szCs w:val="18"/>
                <w:lang w:eastAsia="ru-RU"/>
              </w:rPr>
              <w:t xml:space="preserve">A4 չկավճած թուղթ,  A+ դասի, օգտագործվում է տպագրման համար, թելիկներ չպարունակող, մեխանիկական եղանակով ստացված, 80գ/մ2, A4 (210×297)մմ: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Երկկողմանի տպագրությունից կամ պատճենումից հետո թղթի եզրների կորությունը չի թույլատրվում, հետո անհրաժեշտ է ներկայացնել վերոհիշյալ մասնագրերը արտադրողի կողմից հավաստիացնող նամակ-գրություն պատվիրատուին: Մատակարարման ժամանակ անհրաժեշտ է ներկայացնել ապրանքի օրիգինալության հավաստագիր Certificate of origin:  </w:t>
            </w:r>
          </w:p>
        </w:tc>
      </w:tr>
      <w:tr w:rsidR="00AA52CE" w:rsidRPr="00AA52CE" w14:paraId="55FFFA49" w14:textId="77777777" w:rsidTr="00004572">
        <w:trPr>
          <w:trHeight w:val="434"/>
        </w:trPr>
        <w:tc>
          <w:tcPr>
            <w:tcW w:w="236" w:type="dxa"/>
            <w:tcBorders>
              <w:top w:val="nil"/>
              <w:left w:val="nil"/>
              <w:bottom w:val="nil"/>
              <w:right w:val="nil"/>
            </w:tcBorders>
            <w:shd w:val="clear" w:color="auto" w:fill="auto"/>
            <w:noWrap/>
            <w:vAlign w:val="bottom"/>
          </w:tcPr>
          <w:p w14:paraId="78F0498D" w14:textId="77777777" w:rsidR="00AA52CE" w:rsidRPr="00AA52CE" w:rsidRDefault="00AA52CE" w:rsidP="00AA52CE">
            <w:pPr>
              <w:spacing w:after="0" w:line="240" w:lineRule="auto"/>
              <w:rPr>
                <w:rFonts w:ascii="Sylfaen" w:eastAsia="Times New Roman" w:hAnsi="Sylfaen" w:cs="Times New Roman"/>
                <w:sz w:val="18"/>
                <w:szCs w:val="18"/>
                <w:lang w:eastAsia="ru-RU"/>
              </w:rPr>
            </w:pPr>
          </w:p>
        </w:tc>
        <w:tc>
          <w:tcPr>
            <w:tcW w:w="723" w:type="dxa"/>
            <w:tcBorders>
              <w:top w:val="nil"/>
              <w:left w:val="single" w:sz="4" w:space="0" w:color="auto"/>
              <w:bottom w:val="single" w:sz="4" w:space="0" w:color="auto"/>
              <w:right w:val="single" w:sz="4" w:space="0" w:color="auto"/>
            </w:tcBorders>
            <w:shd w:val="clear" w:color="auto" w:fill="auto"/>
            <w:noWrap/>
            <w:vAlign w:val="center"/>
          </w:tcPr>
          <w:p w14:paraId="3542A24E" w14:textId="09128B04" w:rsidR="00AA52CE" w:rsidRPr="00AA52CE" w:rsidRDefault="002D13B4" w:rsidP="00AA52CE">
            <w:pPr>
              <w:spacing w:after="0" w:line="240" w:lineRule="auto"/>
              <w:jc w:val="center"/>
              <w:rPr>
                <w:rFonts w:ascii="Sylfaen" w:eastAsia="Times New Roman" w:hAnsi="Sylfaen" w:cs="Calibri"/>
                <w:sz w:val="24"/>
                <w:szCs w:val="24"/>
                <w:lang w:val="en-US" w:eastAsia="ru-RU"/>
              </w:rPr>
            </w:pPr>
            <w:r>
              <w:rPr>
                <w:rFonts w:ascii="Sylfaen" w:eastAsia="Times New Roman" w:hAnsi="Sylfaen" w:cs="Calibri"/>
                <w:sz w:val="24"/>
                <w:szCs w:val="24"/>
                <w:lang w:val="en-US" w:eastAsia="ru-RU"/>
              </w:rPr>
              <w:t>9</w:t>
            </w:r>
            <w:bookmarkStart w:id="0" w:name="_GoBack"/>
            <w:bookmarkEnd w:id="0"/>
          </w:p>
        </w:tc>
        <w:tc>
          <w:tcPr>
            <w:tcW w:w="1399" w:type="dxa"/>
            <w:tcBorders>
              <w:top w:val="nil"/>
              <w:left w:val="nil"/>
              <w:bottom w:val="single" w:sz="4" w:space="0" w:color="auto"/>
              <w:right w:val="single" w:sz="4" w:space="0" w:color="auto"/>
            </w:tcBorders>
            <w:shd w:val="clear" w:color="auto" w:fill="auto"/>
            <w:vAlign w:val="center"/>
          </w:tcPr>
          <w:p w14:paraId="58595C62" w14:textId="77777777" w:rsidR="00AA52CE" w:rsidRPr="00AA52CE" w:rsidRDefault="00AA52CE" w:rsidP="00AA52CE">
            <w:pPr>
              <w:spacing w:after="0" w:line="240" w:lineRule="auto"/>
              <w:rPr>
                <w:rFonts w:ascii="Sylfaen" w:eastAsia="Times New Roman" w:hAnsi="Sylfaen" w:cs="Times New Roman"/>
                <w:sz w:val="18"/>
                <w:szCs w:val="18"/>
                <w:lang w:eastAsia="ru-RU"/>
              </w:rPr>
            </w:pPr>
            <w:r w:rsidRPr="00AA52CE">
              <w:rPr>
                <w:sz w:val="20"/>
                <w:szCs w:val="20"/>
              </w:rPr>
              <w:t>Бумага 1</w:t>
            </w:r>
          </w:p>
        </w:tc>
        <w:tc>
          <w:tcPr>
            <w:tcW w:w="7650" w:type="dxa"/>
            <w:tcBorders>
              <w:top w:val="nil"/>
              <w:left w:val="nil"/>
              <w:bottom w:val="single" w:sz="4" w:space="0" w:color="auto"/>
              <w:right w:val="single" w:sz="4" w:space="0" w:color="auto"/>
            </w:tcBorders>
            <w:shd w:val="clear" w:color="auto" w:fill="auto"/>
            <w:vAlign w:val="center"/>
          </w:tcPr>
          <w:p w14:paraId="7739F177" w14:textId="77777777" w:rsidR="00AA52CE" w:rsidRPr="00AA52CE" w:rsidRDefault="00AA52CE" w:rsidP="00AA52CE">
            <w:pPr>
              <w:spacing w:after="0" w:line="240" w:lineRule="auto"/>
              <w:rPr>
                <w:rFonts w:ascii="Sylfaen" w:eastAsia="Times New Roman" w:hAnsi="Sylfaen" w:cs="Times New Roman"/>
                <w:sz w:val="18"/>
                <w:szCs w:val="18"/>
                <w:lang w:eastAsia="ru-RU"/>
              </w:rPr>
            </w:pPr>
            <w:r w:rsidRPr="00AA52CE">
              <w:rPr>
                <w:bCs/>
              </w:rPr>
              <w:t>Немелованная бумага формата А4, для печати, Класс А+ не содержащая волокон, полученная механическим способом, 80 г/м2, размер A4 (210 × 297) мм. Количество листов в одной коробке с заводской упаковкой - 500 листов - должно соответствовать системам сертификации менеджмента ISO 9001, 14001, OHSAS 18001, плотность по ISO 536 80 г / м2, яркость не менее 105, белизна по ISO 11475 не менее 168CIE, толщина по ISO 534 не менее 104 мкм, непроницаемость по ISO 2471 не менее 93, неравномерность не более 220 мл / мин, влажность 3,5-4,5, воздухопроницаемость 1700 млн /мин, токсичность в пределах нормы не более 95,3, фенол не более 0,0001 мг/м3, формальдегид не более 0,0014 мг/м3. При двусторонней печати или копирования класса А или А+ края бумаги не должны загибаться. Необходимо предоставить заказчику письмо, подтверждающее вышеуказанные характеристики. Сертификат  происхождения должен быть предоставлен во время доставки.</w:t>
            </w:r>
          </w:p>
        </w:tc>
      </w:tr>
    </w:tbl>
    <w:p w14:paraId="7B6F0E82" w14:textId="3FE3D7B9" w:rsidR="00B1443B" w:rsidRPr="00EB1381" w:rsidRDefault="00B1443B" w:rsidP="00AA52CE">
      <w:pPr>
        <w:spacing w:after="0"/>
        <w:jc w:val="both"/>
        <w:rPr>
          <w:rFonts w:ascii="Sylfaen" w:hAnsi="Sylfaen"/>
        </w:rPr>
      </w:pPr>
    </w:p>
    <w:p w14:paraId="34840D3D" w14:textId="5E82AE83" w:rsidR="00E74D76" w:rsidRDefault="00B1443B" w:rsidP="00AA52CE">
      <w:pPr>
        <w:spacing w:after="0"/>
        <w:rPr>
          <w:rFonts w:ascii="Sylfaen" w:hAnsi="Sylfaen"/>
        </w:rPr>
      </w:pPr>
      <w:r w:rsidRPr="00B1443B">
        <w:rPr>
          <w:rFonts w:ascii="Sylfaen" w:hAnsi="Sylfaen"/>
        </w:rPr>
        <w:t>Срок исполнения договора устанавливается в 30 календарных днях, счи</w:t>
      </w:r>
      <w:r>
        <w:rPr>
          <w:rFonts w:ascii="Sylfaen" w:hAnsi="Sylfaen"/>
        </w:rPr>
        <w:t>тая с даты заключения договора.</w:t>
      </w:r>
    </w:p>
    <w:p w14:paraId="26E17235" w14:textId="77777777" w:rsidR="00B1443B" w:rsidRPr="00EB1381" w:rsidRDefault="00B1443B" w:rsidP="00AA52CE">
      <w:pPr>
        <w:spacing w:after="0"/>
        <w:jc w:val="both"/>
        <w:rPr>
          <w:rFonts w:ascii="Sylfaen" w:hAnsi="Sylfaen"/>
        </w:rPr>
      </w:pPr>
      <w:r w:rsidRPr="00B1443B">
        <w:rPr>
          <w:rFonts w:ascii="Sylfaen" w:hAnsi="Sylfaen"/>
          <w:shd w:val="clear" w:color="auto" w:fill="BFBFBF" w:themeFill="background1" w:themeFillShade="BF"/>
        </w:rPr>
        <w:t>Поставка и разгрузка товаров осуществляется поставщиком</w:t>
      </w:r>
      <w:r w:rsidRPr="00EB1381">
        <w:rPr>
          <w:rFonts w:ascii="Sylfaen" w:hAnsi="Sylfaen"/>
        </w:rPr>
        <w:t>.</w:t>
      </w:r>
    </w:p>
    <w:p w14:paraId="761D95AC" w14:textId="08C6E0A1" w:rsidR="00B1443B" w:rsidRDefault="00B1443B" w:rsidP="00AA52CE">
      <w:pPr>
        <w:spacing w:after="0"/>
        <w:jc w:val="both"/>
        <w:rPr>
          <w:rFonts w:ascii="Sylfaen" w:hAnsi="Sylfaen"/>
        </w:rPr>
      </w:pPr>
      <w:r w:rsidRPr="00EB1381">
        <w:rPr>
          <w:rFonts w:ascii="Sylfaen" w:hAnsi="Sylfaen"/>
        </w:rPr>
        <w:t>Товары должны быть неиспользованными.</w:t>
      </w:r>
    </w:p>
    <w:p w14:paraId="6803F180" w14:textId="6F68CC0F" w:rsidR="00B1443B" w:rsidRDefault="00B1443B" w:rsidP="00AA52CE">
      <w:pPr>
        <w:spacing w:after="0"/>
        <w:rPr>
          <w:rFonts w:ascii="Sylfaen" w:hAnsi="Sylfaen"/>
        </w:rPr>
      </w:pPr>
      <w:r w:rsidRPr="00B1443B">
        <w:rPr>
          <w:rFonts w:ascii="Sylfaen" w:hAnsi="Sylfaen"/>
        </w:rPr>
        <w:t>Также необходимо предоставить гарантийное письмо или сертификат соответствия от прои</w:t>
      </w:r>
      <w:r>
        <w:rPr>
          <w:rFonts w:ascii="Sylfaen" w:hAnsi="Sylfaen"/>
        </w:rPr>
        <w:t>зводителя или его представителя․</w:t>
      </w:r>
    </w:p>
    <w:p w14:paraId="53BCDC74" w14:textId="0F6231E0" w:rsidR="00B1443B" w:rsidRDefault="00B1443B" w:rsidP="00AA52CE">
      <w:pPr>
        <w:spacing w:after="0"/>
        <w:rPr>
          <w:rFonts w:ascii="Sylfaen" w:hAnsi="Sylfaen"/>
        </w:rPr>
      </w:pPr>
      <w:r w:rsidRPr="00EB1381">
        <w:rPr>
          <w:rFonts w:ascii="Sylfaen" w:hAnsi="Sylfaen"/>
        </w:rPr>
        <w:t>Пример товара до поставки победитель должен согласовать с заказчиком.</w:t>
      </w:r>
    </w:p>
    <w:p w14:paraId="725DE146" w14:textId="09BF9B65" w:rsidR="00B1443B" w:rsidRDefault="00B1443B" w:rsidP="00AA52CE">
      <w:pPr>
        <w:spacing w:after="0"/>
        <w:rPr>
          <w:rFonts w:ascii="Sylfaen" w:hAnsi="Sylfaen"/>
        </w:rPr>
      </w:pPr>
      <w:r w:rsidRPr="00B1443B">
        <w:rPr>
          <w:rFonts w:ascii="Sylfaen" w:hAnsi="Sylfaen"/>
        </w:rPr>
        <w:t>Поставка должна осуществляться своевременно, на</w:t>
      </w:r>
      <w:r>
        <w:rPr>
          <w:rFonts w:ascii="Sylfaen" w:hAnsi="Sylfaen"/>
        </w:rPr>
        <w:t>длежащим образом и качественно.</w:t>
      </w:r>
    </w:p>
    <w:p w14:paraId="4750520E" w14:textId="569B1A3A" w:rsidR="00B1443B" w:rsidRPr="00B1443B" w:rsidRDefault="00B1443B" w:rsidP="00AA52CE">
      <w:pPr>
        <w:rPr>
          <w:rFonts w:ascii="Sylfaen" w:hAnsi="Sylfaen"/>
        </w:rPr>
      </w:pPr>
      <w:r w:rsidRPr="00B1443B">
        <w:rPr>
          <w:rFonts w:ascii="Sylfaen" w:hAnsi="Sylfaen"/>
        </w:rPr>
        <w:t>Адрес поставки: г</w:t>
      </w:r>
      <w:r>
        <w:rPr>
          <w:rFonts w:ascii="Sylfaen" w:hAnsi="Sylfaen"/>
        </w:rPr>
        <w:t>. Ванадзор, ул. Тиграна Меца 22․</w:t>
      </w:r>
    </w:p>
    <w:p w14:paraId="18CF368C" w14:textId="77777777" w:rsidR="00413B14" w:rsidRDefault="00413B14" w:rsidP="00AA52CE">
      <w:pPr>
        <w:spacing w:line="240" w:lineRule="auto"/>
        <w:rPr>
          <w:rFonts w:ascii="Sylfaen" w:hAnsi="Sylfaen"/>
          <w:lang w:val="hy-AM"/>
        </w:rPr>
      </w:pPr>
      <w:r>
        <w:rPr>
          <w:rFonts w:ascii="Sylfaen" w:hAnsi="Sylfaen"/>
          <w:lang w:val="hy-AM"/>
        </w:rPr>
        <w:t>Պայմանագրի կատարման ժամկետ է սահմանվում պայմանագրի կնքման օրվանից հաշված 30 օրացուցային օր</w:t>
      </w:r>
      <w:r w:rsidRPr="00E27C5B">
        <w:rPr>
          <w:rFonts w:ascii="Sylfaen" w:hAnsi="Sylfaen"/>
          <w:lang w:val="hy-AM"/>
        </w:rPr>
        <w:t>:</w:t>
      </w:r>
    </w:p>
    <w:p w14:paraId="606C5E64" w14:textId="77777777" w:rsidR="00413B14" w:rsidRDefault="00413B14" w:rsidP="00AA52CE">
      <w:pPr>
        <w:spacing w:line="240" w:lineRule="auto"/>
        <w:rPr>
          <w:rFonts w:ascii="Sylfaen" w:hAnsi="Sylfaen"/>
          <w:lang w:val="hy-AM"/>
        </w:rPr>
      </w:pPr>
      <w:r>
        <w:rPr>
          <w:rFonts w:ascii="Sylfaen" w:hAnsi="Sylfaen"/>
          <w:lang w:val="hy-AM"/>
        </w:rPr>
        <w:t>Ապրանքների մատակարարումը , բեռնաթափումը իրականացնում է Մատակարարը</w:t>
      </w:r>
      <w:r w:rsidRPr="00E27C5B">
        <w:rPr>
          <w:rFonts w:ascii="Sylfaen" w:hAnsi="Sylfaen"/>
          <w:lang w:val="hy-AM"/>
        </w:rPr>
        <w:t>:</w:t>
      </w:r>
    </w:p>
    <w:p w14:paraId="386E11BF" w14:textId="77777777" w:rsidR="00413B14" w:rsidRDefault="00413B14" w:rsidP="00AA52CE">
      <w:pPr>
        <w:spacing w:line="240" w:lineRule="auto"/>
        <w:rPr>
          <w:rFonts w:ascii="Sylfaen" w:hAnsi="Sylfaen"/>
          <w:lang w:val="hy-AM"/>
        </w:rPr>
      </w:pPr>
      <w:r>
        <w:rPr>
          <w:rFonts w:ascii="Sylfaen" w:hAnsi="Sylfaen"/>
          <w:lang w:val="hy-AM"/>
        </w:rPr>
        <w:t>Ապրանքները պետք է լինեն չօգտագործված</w:t>
      </w:r>
      <w:r w:rsidRPr="00E27C5B">
        <w:rPr>
          <w:rFonts w:ascii="Sylfaen" w:hAnsi="Sylfaen"/>
          <w:lang w:val="hy-AM"/>
        </w:rPr>
        <w:t>:</w:t>
      </w:r>
    </w:p>
    <w:p w14:paraId="71ABAA0B" w14:textId="77777777" w:rsidR="00413B14" w:rsidRDefault="00413B14" w:rsidP="00AA52CE">
      <w:pPr>
        <w:spacing w:line="240" w:lineRule="auto"/>
        <w:rPr>
          <w:rFonts w:ascii="Sylfaen" w:hAnsi="Sylfaen"/>
          <w:lang w:val="hy-AM"/>
        </w:rPr>
      </w:pPr>
      <w:r>
        <w:rPr>
          <w:rFonts w:ascii="Sylfaen" w:hAnsi="Sylfaen"/>
          <w:lang w:val="hy-AM"/>
        </w:rPr>
        <w:t>Անհրաժեշտ է ներկայացնել նաև արտադրողից կամ վերջինիս ներկայացուցչից երաշխիքային նամակը կամ համապատասխանության սերտիֆիկատը</w:t>
      </w:r>
      <w:r w:rsidRPr="00E27C5B">
        <w:rPr>
          <w:rFonts w:ascii="Sylfaen" w:hAnsi="Sylfaen"/>
          <w:lang w:val="hy-AM"/>
        </w:rPr>
        <w:t>:</w:t>
      </w:r>
    </w:p>
    <w:p w14:paraId="61A76A25" w14:textId="77777777" w:rsidR="00413B14" w:rsidRDefault="00413B14" w:rsidP="00AA52CE">
      <w:pPr>
        <w:spacing w:line="240" w:lineRule="auto"/>
        <w:rPr>
          <w:rFonts w:ascii="Sylfaen" w:hAnsi="Sylfaen"/>
          <w:lang w:val="hy-AM"/>
        </w:rPr>
      </w:pPr>
      <w:r>
        <w:rPr>
          <w:rFonts w:ascii="Sylfaen" w:hAnsi="Sylfaen"/>
          <w:lang w:val="hy-AM"/>
        </w:rPr>
        <w:t>Ապրանքի օրինակը մինչև մատակարարումը՝ հաղթողը պետք է համաձայնեցնի Պատվիրատուի հետ</w:t>
      </w:r>
      <w:r w:rsidRPr="00E27C5B">
        <w:rPr>
          <w:rFonts w:ascii="Sylfaen" w:hAnsi="Sylfaen"/>
          <w:lang w:val="hy-AM"/>
        </w:rPr>
        <w:t>:</w:t>
      </w:r>
    </w:p>
    <w:p w14:paraId="6E9FFAE9" w14:textId="77777777" w:rsidR="00413B14" w:rsidRDefault="00413B14" w:rsidP="00AA52CE">
      <w:pPr>
        <w:spacing w:line="240" w:lineRule="auto"/>
        <w:rPr>
          <w:rFonts w:ascii="Sylfaen" w:hAnsi="Sylfaen"/>
          <w:lang w:val="hy-AM"/>
        </w:rPr>
      </w:pPr>
      <w:r>
        <w:rPr>
          <w:rFonts w:ascii="Sylfaen" w:hAnsi="Sylfaen"/>
          <w:lang w:val="hy-AM"/>
        </w:rPr>
        <w:t>Մատակարարումը պետք է իրականացվի ժամանակին, պատշաճ և որակով</w:t>
      </w:r>
      <w:r w:rsidRPr="00E27C5B">
        <w:rPr>
          <w:rFonts w:ascii="Sylfaen" w:hAnsi="Sylfaen"/>
          <w:lang w:val="hy-AM"/>
        </w:rPr>
        <w:t>:</w:t>
      </w:r>
    </w:p>
    <w:p w14:paraId="41DEC0F6" w14:textId="793EA5F6" w:rsidR="00584642" w:rsidRPr="00584642" w:rsidRDefault="002E6040" w:rsidP="00004572">
      <w:pPr>
        <w:rPr>
          <w:rFonts w:ascii="Sylfaen" w:hAnsi="Sylfaen" w:cs="Sylfaen"/>
          <w:lang w:val="hy-AM"/>
        </w:rPr>
      </w:pPr>
      <w:r>
        <w:rPr>
          <w:rFonts w:ascii="Sylfaen" w:hAnsi="Sylfaen"/>
          <w:lang w:val="hy-AM"/>
        </w:rPr>
        <w:t>Մատակարարման հասցե ՝ք</w:t>
      </w:r>
      <w:r>
        <w:rPr>
          <w:rFonts w:ascii="Times New Roman" w:hAnsi="Times New Roman" w:cs="Times New Roman"/>
          <w:lang w:val="hy-AM"/>
        </w:rPr>
        <w:t>․Վանաձոր, Տիգրան Մեծի 22</w:t>
      </w:r>
      <w:r w:rsidRPr="002E6040">
        <w:rPr>
          <w:rFonts w:ascii="Times New Roman" w:hAnsi="Times New Roman" w:cs="Times New Roman"/>
          <w:lang w:val="hy-AM"/>
        </w:rPr>
        <w:t>:</w:t>
      </w:r>
    </w:p>
    <w:sectPr w:rsidR="00584642" w:rsidRPr="00584642" w:rsidSect="00EE714A">
      <w:pgSz w:w="11906" w:h="16838"/>
      <w:pgMar w:top="360" w:right="850" w:bottom="864" w:left="5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993BE" w14:textId="77777777" w:rsidR="008B2F5E" w:rsidRDefault="008B2F5E">
      <w:pPr>
        <w:spacing w:line="240" w:lineRule="auto"/>
      </w:pPr>
      <w:r>
        <w:separator/>
      </w:r>
    </w:p>
  </w:endnote>
  <w:endnote w:type="continuationSeparator" w:id="0">
    <w:p w14:paraId="2512EC00" w14:textId="77777777" w:rsidR="008B2F5E" w:rsidRDefault="008B2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9E699" w14:textId="77777777" w:rsidR="008B2F5E" w:rsidRDefault="008B2F5E">
      <w:pPr>
        <w:spacing w:after="0"/>
      </w:pPr>
      <w:r>
        <w:separator/>
      </w:r>
    </w:p>
  </w:footnote>
  <w:footnote w:type="continuationSeparator" w:id="0">
    <w:p w14:paraId="001B1AFC" w14:textId="77777777" w:rsidR="008B2F5E" w:rsidRDefault="008B2F5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E75"/>
    <w:rsid w:val="00004572"/>
    <w:rsid w:val="000058C3"/>
    <w:rsid w:val="00005C82"/>
    <w:rsid w:val="00007D5C"/>
    <w:rsid w:val="00011125"/>
    <w:rsid w:val="00015DF9"/>
    <w:rsid w:val="0004509D"/>
    <w:rsid w:val="00045AD5"/>
    <w:rsid w:val="00050B05"/>
    <w:rsid w:val="000B4A45"/>
    <w:rsid w:val="000C6E1E"/>
    <w:rsid w:val="000E4415"/>
    <w:rsid w:val="000F51B2"/>
    <w:rsid w:val="000F56C8"/>
    <w:rsid w:val="00102652"/>
    <w:rsid w:val="00102C4B"/>
    <w:rsid w:val="00112110"/>
    <w:rsid w:val="00115CE0"/>
    <w:rsid w:val="0012212C"/>
    <w:rsid w:val="00122933"/>
    <w:rsid w:val="00122A93"/>
    <w:rsid w:val="00141FC6"/>
    <w:rsid w:val="00153DB6"/>
    <w:rsid w:val="00167413"/>
    <w:rsid w:val="001835FE"/>
    <w:rsid w:val="00184338"/>
    <w:rsid w:val="00196192"/>
    <w:rsid w:val="001A5A20"/>
    <w:rsid w:val="001B1093"/>
    <w:rsid w:val="001B1931"/>
    <w:rsid w:val="001B2823"/>
    <w:rsid w:val="001C2619"/>
    <w:rsid w:val="001D5645"/>
    <w:rsid w:val="001E598B"/>
    <w:rsid w:val="00204314"/>
    <w:rsid w:val="00205B9C"/>
    <w:rsid w:val="00226866"/>
    <w:rsid w:val="00243CF8"/>
    <w:rsid w:val="002758CD"/>
    <w:rsid w:val="00281D8E"/>
    <w:rsid w:val="00284054"/>
    <w:rsid w:val="00285B7E"/>
    <w:rsid w:val="002C6EF6"/>
    <w:rsid w:val="002D13B4"/>
    <w:rsid w:val="002D173F"/>
    <w:rsid w:val="002D5304"/>
    <w:rsid w:val="002D733C"/>
    <w:rsid w:val="002E3259"/>
    <w:rsid w:val="002E6040"/>
    <w:rsid w:val="002F49F4"/>
    <w:rsid w:val="00301D78"/>
    <w:rsid w:val="0031034E"/>
    <w:rsid w:val="003275CB"/>
    <w:rsid w:val="003D043E"/>
    <w:rsid w:val="003D3334"/>
    <w:rsid w:val="003D38DA"/>
    <w:rsid w:val="004001AA"/>
    <w:rsid w:val="00413B14"/>
    <w:rsid w:val="00431B6A"/>
    <w:rsid w:val="00457E94"/>
    <w:rsid w:val="004763E9"/>
    <w:rsid w:val="00483C55"/>
    <w:rsid w:val="00483CD6"/>
    <w:rsid w:val="004944B6"/>
    <w:rsid w:val="004A37FC"/>
    <w:rsid w:val="004D2C44"/>
    <w:rsid w:val="004E2962"/>
    <w:rsid w:val="004E656A"/>
    <w:rsid w:val="004F37F9"/>
    <w:rsid w:val="004F6B00"/>
    <w:rsid w:val="004F6C87"/>
    <w:rsid w:val="005059AF"/>
    <w:rsid w:val="005101B1"/>
    <w:rsid w:val="005110FE"/>
    <w:rsid w:val="00517EB3"/>
    <w:rsid w:val="00520826"/>
    <w:rsid w:val="00530351"/>
    <w:rsid w:val="00534E28"/>
    <w:rsid w:val="00567902"/>
    <w:rsid w:val="00584642"/>
    <w:rsid w:val="00585A8F"/>
    <w:rsid w:val="005A2E6F"/>
    <w:rsid w:val="005F1824"/>
    <w:rsid w:val="005F182E"/>
    <w:rsid w:val="00615CD3"/>
    <w:rsid w:val="00620AD5"/>
    <w:rsid w:val="006249A4"/>
    <w:rsid w:val="006317AF"/>
    <w:rsid w:val="0064117E"/>
    <w:rsid w:val="006475B3"/>
    <w:rsid w:val="00651C1D"/>
    <w:rsid w:val="00683A0C"/>
    <w:rsid w:val="00686BED"/>
    <w:rsid w:val="00691392"/>
    <w:rsid w:val="00693413"/>
    <w:rsid w:val="006940FB"/>
    <w:rsid w:val="006B6365"/>
    <w:rsid w:val="006C2973"/>
    <w:rsid w:val="006C2F95"/>
    <w:rsid w:val="006E0DD3"/>
    <w:rsid w:val="006E2F4B"/>
    <w:rsid w:val="006E5898"/>
    <w:rsid w:val="00710FC8"/>
    <w:rsid w:val="0071333A"/>
    <w:rsid w:val="00747347"/>
    <w:rsid w:val="007539B6"/>
    <w:rsid w:val="00757CBD"/>
    <w:rsid w:val="00765756"/>
    <w:rsid w:val="00773294"/>
    <w:rsid w:val="00792E5B"/>
    <w:rsid w:val="007A6307"/>
    <w:rsid w:val="007B0BDA"/>
    <w:rsid w:val="007B7012"/>
    <w:rsid w:val="007D621D"/>
    <w:rsid w:val="007E0B74"/>
    <w:rsid w:val="007F2707"/>
    <w:rsid w:val="00803BCE"/>
    <w:rsid w:val="0080464F"/>
    <w:rsid w:val="00812229"/>
    <w:rsid w:val="00826520"/>
    <w:rsid w:val="00827CBE"/>
    <w:rsid w:val="00834EBB"/>
    <w:rsid w:val="0084359D"/>
    <w:rsid w:val="00855029"/>
    <w:rsid w:val="008674BF"/>
    <w:rsid w:val="0088144F"/>
    <w:rsid w:val="00897A09"/>
    <w:rsid w:val="008A0FD4"/>
    <w:rsid w:val="008B2F5E"/>
    <w:rsid w:val="008B71B4"/>
    <w:rsid w:val="008D4146"/>
    <w:rsid w:val="008E310E"/>
    <w:rsid w:val="009455BF"/>
    <w:rsid w:val="00950485"/>
    <w:rsid w:val="00957E44"/>
    <w:rsid w:val="00974D43"/>
    <w:rsid w:val="00975AAB"/>
    <w:rsid w:val="00976E9D"/>
    <w:rsid w:val="00982FC6"/>
    <w:rsid w:val="0099325A"/>
    <w:rsid w:val="009B3661"/>
    <w:rsid w:val="009C2BD9"/>
    <w:rsid w:val="00A1392E"/>
    <w:rsid w:val="00A22D43"/>
    <w:rsid w:val="00A30732"/>
    <w:rsid w:val="00A55B06"/>
    <w:rsid w:val="00A55B53"/>
    <w:rsid w:val="00A61EEA"/>
    <w:rsid w:val="00A73F55"/>
    <w:rsid w:val="00A90628"/>
    <w:rsid w:val="00AA4D4D"/>
    <w:rsid w:val="00AA52CE"/>
    <w:rsid w:val="00AB18D5"/>
    <w:rsid w:val="00AD1692"/>
    <w:rsid w:val="00AD615F"/>
    <w:rsid w:val="00AE1E70"/>
    <w:rsid w:val="00AF61EF"/>
    <w:rsid w:val="00B1443B"/>
    <w:rsid w:val="00B201AD"/>
    <w:rsid w:val="00B3395E"/>
    <w:rsid w:val="00B50942"/>
    <w:rsid w:val="00B53009"/>
    <w:rsid w:val="00B8691F"/>
    <w:rsid w:val="00BA6C52"/>
    <w:rsid w:val="00BC02AB"/>
    <w:rsid w:val="00BC0601"/>
    <w:rsid w:val="00BC216A"/>
    <w:rsid w:val="00BD1CDC"/>
    <w:rsid w:val="00BE257F"/>
    <w:rsid w:val="00C06E23"/>
    <w:rsid w:val="00C06ED9"/>
    <w:rsid w:val="00C2019B"/>
    <w:rsid w:val="00C3403C"/>
    <w:rsid w:val="00C34572"/>
    <w:rsid w:val="00C4433E"/>
    <w:rsid w:val="00C5607F"/>
    <w:rsid w:val="00C83264"/>
    <w:rsid w:val="00C83FB4"/>
    <w:rsid w:val="00C94CE2"/>
    <w:rsid w:val="00CB42EB"/>
    <w:rsid w:val="00CC360D"/>
    <w:rsid w:val="00CC3DD7"/>
    <w:rsid w:val="00CF5433"/>
    <w:rsid w:val="00D0059B"/>
    <w:rsid w:val="00D013A7"/>
    <w:rsid w:val="00D11119"/>
    <w:rsid w:val="00D14C07"/>
    <w:rsid w:val="00D47CEF"/>
    <w:rsid w:val="00D70B8A"/>
    <w:rsid w:val="00D823E1"/>
    <w:rsid w:val="00D83524"/>
    <w:rsid w:val="00DA38C0"/>
    <w:rsid w:val="00DC429E"/>
    <w:rsid w:val="00DD7BB1"/>
    <w:rsid w:val="00DE5433"/>
    <w:rsid w:val="00DE5C23"/>
    <w:rsid w:val="00E23032"/>
    <w:rsid w:val="00E30943"/>
    <w:rsid w:val="00E4069A"/>
    <w:rsid w:val="00E4256D"/>
    <w:rsid w:val="00E442FC"/>
    <w:rsid w:val="00E627A9"/>
    <w:rsid w:val="00E67F98"/>
    <w:rsid w:val="00E74D76"/>
    <w:rsid w:val="00EB599D"/>
    <w:rsid w:val="00EC0DA7"/>
    <w:rsid w:val="00EE714A"/>
    <w:rsid w:val="00EE7850"/>
    <w:rsid w:val="00F0728C"/>
    <w:rsid w:val="00F10430"/>
    <w:rsid w:val="00F10940"/>
    <w:rsid w:val="00F208A4"/>
    <w:rsid w:val="00F25994"/>
    <w:rsid w:val="00F308FA"/>
    <w:rsid w:val="00F47026"/>
    <w:rsid w:val="00F54D5A"/>
    <w:rsid w:val="00F64E75"/>
    <w:rsid w:val="00F6652D"/>
    <w:rsid w:val="00F66E8D"/>
    <w:rsid w:val="00F72990"/>
    <w:rsid w:val="00F965D1"/>
    <w:rsid w:val="00F96A85"/>
    <w:rsid w:val="00FA2872"/>
    <w:rsid w:val="00FB23D4"/>
    <w:rsid w:val="00FB4025"/>
    <w:rsid w:val="00FC0C69"/>
    <w:rsid w:val="00FC1F62"/>
    <w:rsid w:val="00FE4377"/>
    <w:rsid w:val="00FF070C"/>
    <w:rsid w:val="0FDC21F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B306A"/>
  <w15:docId w15:val="{B3DCEDB1-4C15-4E0F-AC50-2E53DA6C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iPriority w:val="9"/>
    <w:unhideWhenUsed/>
    <w:qFormat/>
    <w:rsid w:val="001221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Balloon Text"/>
    <w:basedOn w:val="a"/>
    <w:link w:val="a5"/>
    <w:uiPriority w:val="99"/>
    <w:semiHidden/>
    <w:unhideWhenUsed/>
    <w:pPr>
      <w:spacing w:after="0" w:line="240" w:lineRule="auto"/>
    </w:pPr>
    <w:rPr>
      <w:rFonts w:ascii="Segoe UI" w:eastAsia="Times New Roman" w:hAnsi="Segoe UI" w:cs="Segoe UI"/>
      <w:sz w:val="18"/>
      <w:szCs w:val="18"/>
      <w:lang w:eastAsia="ru-RU"/>
    </w:rPr>
  </w:style>
  <w:style w:type="paragraph" w:styleId="a6">
    <w:name w:val="footnote text"/>
    <w:basedOn w:val="a"/>
    <w:link w:val="a7"/>
    <w:semiHidden/>
    <w:unhideWhenUsed/>
    <w:pPr>
      <w:spacing w:after="0" w:line="240" w:lineRule="auto"/>
    </w:pPr>
    <w:rPr>
      <w:rFonts w:ascii="Times Armenian" w:eastAsia="Times New Roman" w:hAnsi="Times Armenian" w:cs="Times New Roman"/>
      <w:sz w:val="20"/>
      <w:szCs w:val="20"/>
      <w:lang w:eastAsia="ru-RU"/>
    </w:rPr>
  </w:style>
  <w:style w:type="paragraph" w:styleId="21">
    <w:name w:val="Body Text Indent 2"/>
    <w:basedOn w:val="a"/>
    <w:link w:val="22"/>
    <w:pPr>
      <w:spacing w:after="0" w:line="360" w:lineRule="auto"/>
      <w:ind w:firstLine="540"/>
      <w:jc w:val="both"/>
    </w:pPr>
    <w:rPr>
      <w:rFonts w:ascii="Baltica" w:eastAsia="Times New Roman" w:hAnsi="Baltica" w:cs="Times New Roman"/>
      <w:sz w:val="20"/>
      <w:szCs w:val="20"/>
      <w:lang w:val="af-ZA"/>
    </w:rPr>
  </w:style>
  <w:style w:type="character" w:customStyle="1" w:styleId="22">
    <w:name w:val="Основной текст с отступом 2 Знак"/>
    <w:basedOn w:val="a0"/>
    <w:link w:val="21"/>
    <w:rPr>
      <w:rFonts w:ascii="Baltica" w:eastAsia="Times New Roman" w:hAnsi="Baltica" w:cs="Times New Roman"/>
      <w:sz w:val="20"/>
      <w:szCs w:val="20"/>
      <w:lang w:val="af-ZA"/>
    </w:rPr>
  </w:style>
  <w:style w:type="character" w:customStyle="1" w:styleId="a7">
    <w:name w:val="Текст сноски Знак"/>
    <w:basedOn w:val="a0"/>
    <w:link w:val="a6"/>
    <w:semiHidden/>
    <w:rPr>
      <w:rFonts w:ascii="Times Armenian" w:eastAsia="Times New Roman" w:hAnsi="Times Armenian" w:cs="Times New Roman"/>
      <w:sz w:val="20"/>
      <w:szCs w:val="20"/>
      <w:lang w:eastAsia="ru-RU"/>
    </w:rPr>
  </w:style>
  <w:style w:type="character" w:customStyle="1" w:styleId="a5">
    <w:name w:val="Текст выноски Знак"/>
    <w:basedOn w:val="a0"/>
    <w:link w:val="a4"/>
    <w:uiPriority w:val="99"/>
    <w:semiHidden/>
    <w:rPr>
      <w:rFonts w:ascii="Segoe UI" w:eastAsia="Times New Roman" w:hAnsi="Segoe UI" w:cs="Segoe UI"/>
      <w:sz w:val="18"/>
      <w:szCs w:val="18"/>
      <w:lang w:eastAsia="ru-RU"/>
    </w:rPr>
  </w:style>
  <w:style w:type="paragraph" w:styleId="HTML">
    <w:name w:val="HTML Preformatted"/>
    <w:basedOn w:val="a"/>
    <w:link w:val="HTML0"/>
    <w:uiPriority w:val="99"/>
    <w:unhideWhenUsed/>
    <w:rsid w:val="00510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01B1"/>
    <w:rPr>
      <w:rFonts w:ascii="Courier New" w:eastAsia="Times New Roman" w:hAnsi="Courier New" w:cs="Courier New"/>
    </w:rPr>
  </w:style>
  <w:style w:type="character" w:customStyle="1" w:styleId="y2iqfc">
    <w:name w:val="y2iqfc"/>
    <w:basedOn w:val="a0"/>
    <w:rsid w:val="005101B1"/>
  </w:style>
  <w:style w:type="character" w:customStyle="1" w:styleId="20">
    <w:name w:val="Заголовок 2 Знак"/>
    <w:basedOn w:val="a0"/>
    <w:link w:val="2"/>
    <w:uiPriority w:val="9"/>
    <w:rsid w:val="0012212C"/>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12708">
      <w:bodyDiv w:val="1"/>
      <w:marLeft w:val="0"/>
      <w:marRight w:val="0"/>
      <w:marTop w:val="0"/>
      <w:marBottom w:val="0"/>
      <w:divBdr>
        <w:top w:val="none" w:sz="0" w:space="0" w:color="auto"/>
        <w:left w:val="none" w:sz="0" w:space="0" w:color="auto"/>
        <w:bottom w:val="none" w:sz="0" w:space="0" w:color="auto"/>
        <w:right w:val="none" w:sz="0" w:space="0" w:color="auto"/>
      </w:divBdr>
    </w:div>
    <w:div w:id="424806926">
      <w:bodyDiv w:val="1"/>
      <w:marLeft w:val="0"/>
      <w:marRight w:val="0"/>
      <w:marTop w:val="0"/>
      <w:marBottom w:val="0"/>
      <w:divBdr>
        <w:top w:val="none" w:sz="0" w:space="0" w:color="auto"/>
        <w:left w:val="none" w:sz="0" w:space="0" w:color="auto"/>
        <w:bottom w:val="none" w:sz="0" w:space="0" w:color="auto"/>
        <w:right w:val="none" w:sz="0" w:space="0" w:color="auto"/>
      </w:divBdr>
    </w:div>
    <w:div w:id="696614730">
      <w:bodyDiv w:val="1"/>
      <w:marLeft w:val="0"/>
      <w:marRight w:val="0"/>
      <w:marTop w:val="0"/>
      <w:marBottom w:val="0"/>
      <w:divBdr>
        <w:top w:val="none" w:sz="0" w:space="0" w:color="auto"/>
        <w:left w:val="none" w:sz="0" w:space="0" w:color="auto"/>
        <w:bottom w:val="none" w:sz="0" w:space="0" w:color="auto"/>
        <w:right w:val="none" w:sz="0" w:space="0" w:color="auto"/>
      </w:divBdr>
    </w:div>
    <w:div w:id="956332842">
      <w:bodyDiv w:val="1"/>
      <w:marLeft w:val="0"/>
      <w:marRight w:val="0"/>
      <w:marTop w:val="0"/>
      <w:marBottom w:val="0"/>
      <w:divBdr>
        <w:top w:val="none" w:sz="0" w:space="0" w:color="auto"/>
        <w:left w:val="none" w:sz="0" w:space="0" w:color="auto"/>
        <w:bottom w:val="none" w:sz="0" w:space="0" w:color="auto"/>
        <w:right w:val="none" w:sz="0" w:space="0" w:color="auto"/>
      </w:divBdr>
    </w:div>
    <w:div w:id="1146773817">
      <w:bodyDiv w:val="1"/>
      <w:marLeft w:val="0"/>
      <w:marRight w:val="0"/>
      <w:marTop w:val="0"/>
      <w:marBottom w:val="0"/>
      <w:divBdr>
        <w:top w:val="none" w:sz="0" w:space="0" w:color="auto"/>
        <w:left w:val="none" w:sz="0" w:space="0" w:color="auto"/>
        <w:bottom w:val="none" w:sz="0" w:space="0" w:color="auto"/>
        <w:right w:val="none" w:sz="0" w:space="0" w:color="auto"/>
      </w:divBdr>
    </w:div>
    <w:div w:id="1151405544">
      <w:bodyDiv w:val="1"/>
      <w:marLeft w:val="0"/>
      <w:marRight w:val="0"/>
      <w:marTop w:val="0"/>
      <w:marBottom w:val="0"/>
      <w:divBdr>
        <w:top w:val="none" w:sz="0" w:space="0" w:color="auto"/>
        <w:left w:val="none" w:sz="0" w:space="0" w:color="auto"/>
        <w:bottom w:val="none" w:sz="0" w:space="0" w:color="auto"/>
        <w:right w:val="none" w:sz="0" w:space="0" w:color="auto"/>
      </w:divBdr>
    </w:div>
    <w:div w:id="1242909878">
      <w:bodyDiv w:val="1"/>
      <w:marLeft w:val="0"/>
      <w:marRight w:val="0"/>
      <w:marTop w:val="0"/>
      <w:marBottom w:val="0"/>
      <w:divBdr>
        <w:top w:val="none" w:sz="0" w:space="0" w:color="auto"/>
        <w:left w:val="none" w:sz="0" w:space="0" w:color="auto"/>
        <w:bottom w:val="none" w:sz="0" w:space="0" w:color="auto"/>
        <w:right w:val="none" w:sz="0" w:space="0" w:color="auto"/>
      </w:divBdr>
    </w:div>
    <w:div w:id="1311981511">
      <w:bodyDiv w:val="1"/>
      <w:marLeft w:val="0"/>
      <w:marRight w:val="0"/>
      <w:marTop w:val="0"/>
      <w:marBottom w:val="0"/>
      <w:divBdr>
        <w:top w:val="none" w:sz="0" w:space="0" w:color="auto"/>
        <w:left w:val="none" w:sz="0" w:space="0" w:color="auto"/>
        <w:bottom w:val="none" w:sz="0" w:space="0" w:color="auto"/>
        <w:right w:val="none" w:sz="0" w:space="0" w:color="auto"/>
      </w:divBdr>
    </w:div>
    <w:div w:id="1995184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D210-EBA0-4EDA-A999-F32B072D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457</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89</cp:revision>
  <cp:lastPrinted>2023-02-14T12:37:00Z</cp:lastPrinted>
  <dcterms:created xsi:type="dcterms:W3CDTF">2024-01-22T12:03:00Z</dcterms:created>
  <dcterms:modified xsi:type="dcterms:W3CDTF">2025-02-21T10:30:00Z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8689290524E441EEB937A3A88A413550</vt:lpwstr>
  </property>
</Properties>
</file>