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и сжатого природного газа для нужд Мартунинского муниципалитета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ԳՄՄՀ-ԷԱՃԱՊՁԲ-25/04</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и сжатого природного газа для нужд Мартунинского муниципалитета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и сжатого природного газа для нужд Мартунинского муниципалитета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и сжатого природного газа для нужд Мартунинского муниципалитета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нешний вид: чистый, прозрачный, октановое число, определенное исследовательским методом: не менее 91, моторным методом: не менее 81, давление паров бензина - от 45 до 100 кПа, содержание свинца не более 5 мг/дм3, бензол
объемная доля не более 1 %, плотность при 15°С от 720 до 775 кг/м3, содержание серы не более 10 мг/кг, массовое содержание кислорода не более 2,7 % Объемная доля оксидантов, не более метанола-3 %, этанол-5%, изопропиловый спирт -10%, изобутиловый спирт -10%, трибутиловый спирт -7%, эфиры (С5 և больше) -15%, др.
окислители -10%, безопасность, маркировка և упаковка согласно Постановлению Правительства РА 2004г. «Технический регламент топлив для двигателей внутреннего сгорания», утвержденный постановлением N 1592-Н от 11 ноября 2006 г.
КУПОН НА ПОСТАВКУ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который получают в результате нескольких стадий последовательной переработки газа в технологических процессах АГНКС: очистка смеси, удаление влаги и других загрязнений, сжатие, не изменить состав компонентов Давление избыточного газа сжатого топлива должно соответствовать техническим условиям газовых баллонов многоразового использования КПГ և не должно превышать предельное давление 19,6 МПа, температура газа в баллоне может быть не выше температуры окружающей среды не более 15 °С, стандарт ГО 27577-87, условные обозначения: "Огнеопасен", безопасность - пожарная, взрывоопасная, снабжение – проверка
Доставка как по купону, так и на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2025 году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2025 году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