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ԵՔ-ԷԱՃԱՊՁԲ-25/76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հագուստը կազմված պետք է լինի բաճկոնից և անդրավարտիքից: Բաճկոնի լանջափեշերի միացումը կենտրոնական շղթայական կոճկվածքով, 30 տոկոս բամբակե, 70 տոկոս արհեստական մանրաթելերից բաղկացած գործվածքից, գույնը՝  կապույտ, կարմիր, բաց մոխրագույն, դեղին՝ 6-10 տարեկան աղջիկներին և տղաներին համապատասխան, պիտակավորված, պիտակների վրա պետք է նշված լինի սպորտային հագուստի չափսերը, արտադրող կազմակերպության անվանումը, գործարանային փաթեթավորմամբ: Մատակարար կազմակերպությունը գնումը շահելուց հետո 10 օրվա ընթացքում պետք է ներկայացնի նմուշներ՝  2 օրինակից: Գնի մեջ ներառում է փաթեթավորումը թղթե կամ պոլիէթիլենային տոպրակների մեջ, ինչպես նաև առաքումը վարչական շրջան: Փաթեթավորումը համաձայնեցվում է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