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10-40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միներալյուղ/Կոմպրեսորային յուղ KC-19/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Վիսկոզին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արգելակի հեղուկ DOT-4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SAE 20-50 /GAZPROMNEFT Standard 20W-50 20L Միներալ/ կամ համարժեք։ Մածուցիկության (SAE) 20W-50, Կլասիֆիկացիա   API - SF/CC, Տեսակ- Միներալ, Կիրառելիությունը- Շարժիչի յուղ։  Փաթեթավորումը 20լ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SAE 10-40 /GAZPROMNEFT Standard 10W-40 20L Միներալ/ կամ համարժեք։ Մածուցիկության (SAE) 10W-40, Կլասիֆիկացիա   API - SF/CC, Տեսակ- Միներալ, Կիրառելիությունը- Շարժիչի յուղ։  Փաթեթավորումը 5լ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Լիտոլ-24  5կգ տարաներով
-40ից մինչև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 TEP-15 Խտությունը 20°С-ում, գ/սմ3-0,9099 Կինեմատիկական մածուցիկություն 100°С-ում, մմ2/վ-14,97 Բռնկման կետը բաց խառնարանում -230°С Սառման ջերմաստիճանը - մինուս 20°С Տեխնիկական չափանիշները պետք է համապատասխանեն ԳՕՍՏ 23652-79 պահանջներին: Փաթեթավորումը 20լ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միներալյուղ/Կոմպրեսորային յուղ KC-19/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Կոմպրեսորային յուղ КС-19 ГОСТ 9243-75 ,,220”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Վիսկոզին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Նավթային յուղ վիսկոզին- միջին խտության և մածուցիկության հանքային յուղ, որն օգտագործվում է տրանսմիսիաների և այլ ագրեգատների յուղման համար: Կինեմատիկ մածուցիկությունը 100°C դեպքում 32-35 մմ2/վրկ, բռնկման ջերմաստիճանը` ոչ պակաս 215°CՎիսկոզինի տեխնիկական չափանիշները պետք է համապատասխանեն ԳՈՍՏ 1841-51 պահանջներին: Փաթեթավորումը 20լ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արգելակի հեղուկ DOT-4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հեղուկ LUXE DOT 4 
ISO 4925, FMVSS 116, SAE J1703, SAE J1704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գյուղ Հայանիստ ,Էջմիածնի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գյուղ Հայանիստ ,Էջմիածնի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գյուղ Հայանիստ ,Էջմիածնի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գյուղ Հայանիստ ,Էջմիածնի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գյուղ Հայանիստ ,Էջմիածնի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գյուղ Հայանիստ ,Էջմիածնի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գյուղ Հայանիստ ,Էջմիածնի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միներալյուղ/Կոմպրեսորային յուղ KC-19/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Վիսկոզին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արգելակի հեղուկ DOT-4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