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ԵԱՍՄ-ԷԱՃԱՊՁԲ-25/31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ԵԱՍՄ-ԷԱՃԱՊՁԲ-25/31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ԵԱՍՄ-ԷԱՃԱՊՁԲ-25/31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ԵԱՍՄ-ԷԱՃԱՊՁԲ-25/31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խոտհնձիչ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Փոցխի մետաղական հատվածը պետք է լինի պատրաստված բարձր ամրությամբ CT3 մետաղից` առնվազն 2մմ հաստությամբ։ Փոցղի լայնությունը պետք է լինի 35 սմ,  պատրաստված որոշակի կորությամբ 14 ատամներից, որոնց բարձրությունը պետք է լինի 7-10 սմ։ Փոցղի պոչը պետք է պատրաստված լինի  1-ին կարգի հղկված կեչու փայտից 3սմ տրամագծով և 130-140 սմ երկարությամբ (±1սմ)։ Փոցխի մետաղական հատվածի աջ և ձախ  կողմերից պետք է մետաղական ձողերով ամրացված լինի կենտրոնական հատվածին հավելյալ ամրություն ապահովելու համար։ Մետաղական հատվածը պետք է պատված լինի հատուկ հակակոռոզիոն ներկով: Փոցխը պետք է մատակարարել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/տրիմեր/ շարժիչի ծավալը՝ 62CC/6200սմ3 , շարժիչի հզորությունը՝ 5500W, շարժիչի տեսակը՝ 1 պորշինային 2 տակտային, հովացումը՝ օդային, վառելիքի բաքի տարողությունը՝ 1լ, վառելիքի տեսակը՝ ԱԻ-92 + 2Տ յուղ 25։1, շարժիչի տեղակայումը՝ վերին, շարժիչի պտտման արագությունը՝ 16000 մինչև 18000 պտ/րոպե, յուղի տեսակը՝ 2 T։ Խոտհնձիչի աղմուկի մակարդակը՝ առնվազն 107 դԲ, հատելու լայնությունը թելով՝ 415մմ, հատելու լայնությունը դանակով՝ 255մմ, բռնակի տեսակը՝ հեծանվային, թելի տրամագիծը 2,4մմ, սարքավորման տեսակ՝ կենցաղային օգտագործում, կոմպլեկտացիա՝ վառելիքի խառնուրդի պատրաստման տարրա, ուսադիրով գոտի, 3-թևանի սկավառակ, 255 մմ կտրող սկավառակ /40 ատամ/, գործիքների հավաքածու, անձնագիր, բալիստիկ ակնոց, աշխատանքային ձեռնոցներ։ Պարտադիր պայման՝ յուրաքանչյուր խոտհնձիչի հետ պետք է տրվի առնվազն 5 հատ պահեստային նեյլոնային Լեսկայով կտրող կծիկ։ Երաշխիքային ժամկետը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