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2025.02.28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Սուրբ Գրիգոր Լուսավորիչ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ք. Երևան, Գյուրջյան 10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Приглашение к участию в электронном аукционе, объявленном для приобретения оборудования, для нужд ЗАО "СУРБ ГРИГОРИЙ ЛУСАВОРИЧ МЕДИЦИНСКИЙ ЦЕНТР"</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16:00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16:00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Աստղիկ Գյուրջյան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a.gyurjyan@keystone.am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093455493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Սուրբ Գրիգոր Լուսավորիչ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ՍԳԼ-էԱՃԱՊՁԲ-25/18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2025.02.28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Приглашение к участию в электронном аукционе, объявленном для приобретения оборудования, для нужд ЗАО "СУРБ ГРИГОРИЙ ЛУСАВОРИЧ МЕДИЦИНСКИЙ ЦЕНТР"</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Приглашение к участию в электронном аукционе, объявленном для приобретения оборудования, для нужд ЗАО "СУРБ ГРИГОРИЙ ЛУСАВОРИЧ МЕДИЦИНСКИЙ ЦЕНТР"</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Սուրբ Գրիգոր Լուսավորիչ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ՍԳԼ-էԱՃԱՊՁԲ-25/18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a.gyurjyan@keystone.am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Приглашение к участию в электронном аукционе, объявленном для приобретения оборудования, для нужд ЗАО "СУРБ ГРИГОРИЙ ЛУСАВОРИЧ МЕДИЦИНСКИЙ ЦЕНТР"</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6</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Наркозно-дыхательный аппарат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Комбинированная система офтальмологических операций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дисплей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монитор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монитор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монитор 4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16:00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393.26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4.5265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412.22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2025.03.11. 16:00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ՍԳԼ-էԱՃԱՊՁԲ-25/18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Սուրբ Գրիգոր Լուսավորիչ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ՍԳԼ-էԱՃԱՊՁԲ-25/18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ՍԳԼ-էԱՃԱՊՁԲ-25/18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ՍԳԼ-էԱՃԱՊՁԲ-25/18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Սուրբ Գրիգոր Լուսավորիչ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"ՍԳԼ-էԱՃԱՊՁԲ-25/18"*</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Սուրբ Գրիգոր Լուսավորիչ ՓԲԸ</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ՍԳԼ-էԱՃԱՊՁԲ-25/18</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"ՍԳԼ-էԱՃԱՊՁԲ-25/18"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ՍԳԼ-էԱՃԱՊՁԲ-25/18*.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ՍԳԼ-էԱՃԱՊՁԲ-25/18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"ՍԳԼ-էԱՃԱՊՁԲ-25/18"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Սուրբ Գրիգոր Լուսավորիչ ՓԲԸ*(далее — Заказчик) процедуре закупок под кодом ՍԳԼ-էԱՃԱՊՁԲ-25/18*.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ՍԳԼ-էԱՃԱՊՁԲ-25/18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2 года,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ՍԳԼ-էԱՃԱՊՁԲ-25/18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Наркозно-дыхательный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Наркозно-дыхательный аппарат для взрослых и новорожденных, с микропроцессорным управлением, пневматической ингаляционной системой, аппарат так же должен иметь՝ датчики потока типа на выдохе и вдохе. Встроенная система вакуума. Электронная настройка PEEP. Самопроверка системы не более 4 минут. Аппарат должен иметь – датчик утечек, автоматическую идентификацию анестетического газа, парамагнетическую ячейку кислорода, встроенные ящики, дыхательный мешок с датчиком застревания, испарители с переменным байпасом и полностью компенсационным методом. Объём дыхания не менее чем в диапазоне 20-1400 мл, инспираторная пауза не менее чем в диапазоне 0-50%, частота дыхания не менее чем в диапазоне 4-60 вдохов / мин, поток вдоха не менее чем 85 л/мин, пасивный вывод анестетика, Вывод концентрации CO2 на встроенный экран, расчет обьема выдоха анемометрическим способом, отклик кислородной ячейки не более чем 0.45с, работа от встроенных аккумуляторных батарей не менее чем 45 мин․ Параметры наблюдения՝ возможность таймера во всех режимах, встроенный или дополнительный 15-дюймовый  сенсорный пациент монитор с TFT экраном. Возможность отображения следующих кривых՝ давление, поток, объём, CO2, Галотан, Изофлуран, Энфлюран, Севофлуран, Десфлуран, кислород. Наличие графических и цифровых трендов - Ppeak, Pmean, PEEP, MV, CO2 insp. / exp., O2 insp. / exp., активного вещества, сопративление легких, статическое/динамическое  соответвествие, Сохранение и вывод тревог на внешние насители. Аппарат должен иметь возможность вывода следующих параметров на экран՝  сопративление легких, статическое/динамическое  соответвествие, CO2/C, Ppeak, Pplateau, Pmean, PEEP, MV, MV calculated, MV spontaneous%, VTi, Vte, Leak%, Frequency total, spontaneous, Frequency CO2, Ti spontaneous, Tinspiratoric, Texpiratoric, I : E, CO2, O2, Agent. Draeger Atlan 100 XL или эквивалентное оборудование Lowenstein Leon Plus соответствует указанным техническим характеристикам.Комплектация: Наркозный аппарат, 2 испарителя: изофлюран и севофлюран, порт «Фрешгаз», не менее 100 водоотделителей, другие принадлежности, необходимые для обслуживания оборудования и организации работы на срок не менее 5 лет. Гарантийный срок оборудования не менее 24 месяцев. В течение гарантийного срока оборудование должно проходить техническое обслуживание сертифицированным инженером не реже одного раза в 3 месяца. Оборудование должно быть поставлено, установлено и обучено поставщиком. Руководство пользователя также должно прилагаться к устройству. Draeger Atlan 100 или эквивалентное оборудование Lowenstein Leon Plus соответствует указанным техническим характеристикам. Оборудование должно иметь сертификат качества ISO13485 или эквивалентная ИСО13485, а также знак CE (Директива 93/42/EEC) или квалификацию FDA. Обязательным условием является также интеграция оборудования с существующей в медицинском центре внутрибольничной программой хотя бы на уровне предоставления всех необходимых API.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Комбинированная система офтальмологических операций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должна быть разработана для операций на переднем и заднем отрезке глаза и лазерных процедур, иметь высокую производительность при факоэмульсификации и витрэктомии. Она должна быть адаптирована для операций по удалению катаракты и сетчатки, обеспечивая эффективность, безопасность и точность.
Система должна быть оснащена удобным сенсорным экраном, который должен иметь интуитивно понятную навигацию, отображение данных в реальном времени для хирургических параметров и настроек, возможность создания персонализированных профилей хирургов, систему памяти, которая может хранить предопределенные хирургические процедуры. Система должна быть совместима с одноразовыми и многоразовыми наборами трубок. Система должна позволять интеграцию с цифровыми хирургическими платформами, выполнять в реальном времени интраоперационные корректировки для аспирации и управления жидкостью и иметь расширенные функции безопасности, включая датчики окклюзии и стабилизацию жидкости.
Факоэмульсификационный блок системы должен, как минимум, иметь технологию Adaptive Fluidics для улучшения внутриглазной емкости, обеспечивать низкоэнергетическую факоэмульсификацию для снижения риска повреждения эндотелия роговицы, регулировку мощности ультразвука для оптимизации удаления хрусталика, настраиваемые режимы факоэмульсификации в соответствии с индивидуальными предпочтениями хирурга и процедуру микроразрезной хирургии катаракты (MICS).
Блок витрэктомии системы должен как минимум иметь интегрированный модуль витрэктомии для операций на заднем сегменте глаза, высокоскоростную витрэктомию для разрезов с производительностью не менее 20 000 разрезов в минуту, технологию двойного пневматического привода для повышения точности разреза, интегрированную систему интраокулярного освещения, совместимую с различными источниками света, а также мгновенный контроль вакуума, аспирации и скорости разреза.
Система должна иметь встроенный лазер для операций на сетчатке и заднем отрезке глаза, мощность которого должна быть не менее 532 нм (опционально 810 нм), а точность управления энергией должна быть на уровне микросекунд.
Требования к техническим данным системы:
1. Экран: встроенный, сенсорный, диагональ не менее 19 дюймов,
2. Факоэмульсификация: частота: не менее 28,5 кГц, диапазон импульсного режима: от 1 до 250 импульсов в секунду, максимальная ширина линии: не менее 130 мкм, движение: продольное.
3. Орошение: Гравитационное и воздушное, требуемое давление воздуха: не более 100 мм рт. ст., диапазон вакуума: не менее 0-700 мм рт. ст.
4. Витрэктомия: Скорость резания: не менее 30–10 000 резов в минуту (с возможностью проведения операций на задней камере), ручные инструменты: не менее 20G, 23G, 25G, 27G.
5. Ножной переключатель: беспроводной, многофункциональный, два линейных режима, чувствительный к степени сжатия.
6. Электрический вход: Универсальный вход 100-240 В переменного тока, 50/60 Гц. Встроенная резервная батарея для экстренных случаев.
7. Наконечник (инфузионная система): не менее 3 шт.
8. Одноразовые и многоразовые расходные материалы для проведения не менее 30 операций.
Оборудование должно быть новым, неиспользованным. Поставка, монтаж и обучение медицинского персонала осуществляется поставщиком сертифицированным специалистом.
Оборудование должно иметь как минимум сертификаты ISO 9001, ISO 13485, ISO 14001, а также маркировку CE или эквивалентную квалификацию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дисплей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экрана: не менее 86 дюймов, минимум технологии DLED, Плотность пикселей: 3840 × 2160, Яркость: не менее 400 кд/м², Контрастность: 5000:1, Время отклика: максимум 5 мс, Угол обзора: 178°(Г)/178°(Ш), Оптическое соотношение сторон: 16:9, Твердость поверхности: 7H (карандаш), 7 (Моос), Поверхность: антибликовое стекло, нулевая ламинация, Активная площадь экрана: 1895 x 1066 мм, Срок службы: не менее 50 000 часов. 4 (2,4 ГГц) Cortex-A55 × 4 (1,8 ГГц) или восьмиъядерный процессор 4 x Cortex-A73 (2,2 ГГц) + 4 x Cortex-A53 (2,0 ГГц), Память: 8 ГБ, встроенная память: не менее 128 ГБ, графический процессор Mali-G610 MC4 или графический процессор Mali G52 MC4. Характеристики сенсорного экрана: инфракрасный сенсорный экран. экран или сенсорный экран Stellar: мультитач на 40 точек, время отклика до 2 мс, точность касания: 32768×32768. Встроенные динамики: 2 х 20 Вт + 1 х 25 Вт, встроенный Bluetooth 5.1. Минимальные характеристики интерфейса: Видео- и аудиовход: 3 входа HDMI 2.0, 1 вход DP 1.2, 1 аудиовход, видео и аудиовыход: 1 выход HDMI 2.0, 1 аудиовыход, 1 выход SPDIF, интерфейс управления: 3 порта TOUCH-USB 3.0, 1 порт RS232, сетевой интерфейс: 2 порта LAN (1000 Мбит/с), WIFI 6 2,4G/5G, Интерфейс передачи данных: 4x USB 3.0, 1x Type-C (65 Вт), Минимальные характеристики камеры: Качество: 4K, 48MP для фотоснимков, 8MP для записи видео, Угол обзора: 120°(по диагонали), 110°(по горизонтали), 75°(по вертикали), Искажение изображения: максимум до 2,5%, Минимальные характеристики микрофона: Всенаправленное 8-блочное расположение, Подавление эха и интеллектуальное шумоподавление, Минимальное расстояние приема звука: 12 м, Частота дискретизации: 32K, Частота дискретизации микрофона: 16 бит. Другое: Мощность: от 100 до 240 В переменного тока, 50/60 Гц, Потребление в спящем режиме: до 0,5 Вт, Максимальное потребление: до 150 Вт, Тип крепления VESA: 800 мм × 400 мм. В комплекте с устройством поставщик должен предоставить: настенное крепление для экрана, ручку для сенсорного управления, кабель USB, кабель HDMI (2.0), кабель питания европейского стандарта, пульт дистанционного управления. Транспортировку электронных плат и обучение персонала осуществляет поставщик. Вся продукция должна быть новой и неиспользованной в заводской упаковке. Компания-победитель предоставляет на всю продукцию гарантийное письмо или сертификат соответствия (MAF). Гарантийный срок составляет не менее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монитор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монитор для использования в операционных,
Диагональ – не менее 109,2 см / 43”
Яркость - не менее 3840 x 2160 (соотношение сторон 16:9)
Размер видимого изображения – не менее 941,2 x 529,4 мм
Цвета дисплея – не менее 10-битных цветов (SDI): 1,07 миллиарда цветов, не менее 8-битных цветов: 16,77 миллионов цветов
Углы обзора – не менее 178°/178°
Яркость - не менее 700 кд/м2; Контрастность 1000:1
Время отклика - не менее 8 мс (от серого к серому)
Видеосигналы: Вход – как минимум BNC (3G-SDI), BNC (12G-SDI), DVI-D, DisplayPort, HDMI; Выход – как минимум BNC (12G-SDI), DVI-D, DisplayPort
Языки экранного меню – как минимум английский, немецкий, русский
Возможности и функции, как минимум PbyP (картинка за картинкой), PinP (картинка в картинке),
Автоматическое обнаружение ввода,
Переключатель гаммы, Переключатель цветовой температуры, Пульт дистанционного управления
Защитная пленка для экрана - твердость 9H, многослойное стекло; Вес – не более 17 кг.
Требуемые сертификаты: CE/UKCA (медицинское устройство), ANSI/AAMI ES60601-1, RCM, RoHS
Полный комплект должен содержать: адаптер питания переменного тока, фильтры колебаний мощности и частоты, винты крепления монитора x 4, кабельные стяжки x 2, необходимый электронный диск с документацией (применение/использование/инструкции, руководство по установке);
Мониторы предназначены для работы с видеосистемами Storz,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монитор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монитор для использования в операционных,
Диагональ - не менее 124,5 см / 49”
Разрешение - не менее 3840 x 2160 (соотношение сторон 16:9)
Размер видимого изображения – не менее 1073,8 х 604 мм.
Цвета дисплея - не менее 10-битных цветов (SDI): 1,07 миллиарда цветов, не менее 8-битных цветов: 16,77 миллионов цветов
Углы обзора - не менее 178°/178°
Яркость – не менее 700 кд/м2
Контрастность не менее 1100:1
Время отклика - не менее 8 мс (серый-серый)
Видеосигналы, не менее: Вход - BNC (3G-SDI), BNC (12G-SDI), DVI-D, DisplayPort, HDMI, Выход - BNC (12G-SDI), DVI-D, DisplayPort
Языки экранного меню, не менее – английский, немецкий, русский
Возможности и функции, не менее PbyP (картинка за картинкой), PinP (картинка в картинке),
Автоматическое определение входа, Переключатель гаммы, Переключатель цветовой температуры, Пульт дистанционного управления
Защитная пленка для экрана - Твердость 9H, ламинированное стекло,
Вес – не более 25 кг.
Соотношение экрана к корпусу - 90,2%
Требуемые сертификаты CE/UKCA (медицинское устройство), ANSI/AAMI ES60601-1, RCM, RoHS
Полный комплект должен содержать, как минимум: адаптер питания переменного тока, фильтры колебаний мощности и частоты, винты для крепления монитора x 4, кабельные стяжки x 2, необходимый диск с электронной документацией (применение/использование/инструкции, руководство по установке).
Мониторы предназначены для работы с видеосистемами Storz, имеющимися в медицинском центре.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монитор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монитор 4K для использования в операционных
Диагональ – не менее 138,7 см / 55 дюймов
Разрешение - не менее 3840 x 2160 (соотношение сторон 16:9)
Размер видимого изображения – не менее 1200 × 680 мм.
Цвета дисплея – не менее 10-битных цветов (SDI): 1,07 миллиарда цветов, не менее 8-битных цветов: 16,77 миллионов цветов
Углы обзора – не менее 178°/178°
Яркость - не менее 800 кд/м2; Контрастность: 1200:1
Время отклика - не менее 8 мс (от серого к серому)
«Видеосигналы: Вход – не менее DVI × 1, DP1.2 × 1, HDMI2.0 × 1, HDMI1.4 × 1, BNC 3G-SDI × 3, BNC 12G-SDI × 1
Выход - как минимум: Single-link DVI × 1, BNC 3G-SDI × 1, BNC 12G-SDI × 1"
Языки экранного меню – как минимум английский, немецкий, русский
Возможности и функции, как минимум PbyP (картинка за картинкой), PinP (картинка в картинке), 4 окна
Автоматическое обнаружение ввода,
Переключатель гаммы, Переключатель цветовой температуры, Пульт дистанционного управления
Защитная пленка для экрана - твердость 9H, многослойное стекло; Масса – не более 45 кг.
Соотношение экрана к корпусу: 90,2 %
Требуемые сертификаты: CE или Декларация о соответствии, IEC 60601-1, Электробезопасность и ЭМС, RoHS или эквивалент
Полный комплект должен содержать: адаптер питания переменного тока, фильтры колебаний мощности и частоты, винты крепления монитора x 4, кабельные стяжки x 2, необходимый электронный диск с документацией (применение/использование/инструкции, руководство по установке);
Мониторы предназначены для работы с видеосистемами Storz, имеющимися в медицинском центре.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ՍԳԼ-էԱՃԱՊՁԲ-25/18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30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30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30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45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45 календарных дней с момента подписания соответствующего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город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45 календарных дней с момента подписания соответствующего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ՍԳԼ-էԱՃԱՊՁԲ-25/18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ՍԳԼ-էԱՃԱՊՁԲ-25/18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ՍԳԼ-էԱՃԱՊՁԲ-25/18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