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ԷԱՃԱՊՁԲ-ՏՔ-25/2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տոներային քարտրիջների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ԷԱՃԱՊՁԲ-ՏՔ-25/2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տոներային քարտրիջների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տոներային քարտրիջների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ԷԱՃԱՊՁԲ-ՏՔ-25/2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տոներային քարտրիջների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2025.03.17.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ՔԿ ԷԱՃԱՊՁԲ-ՏՔ-25/2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ԷԱՃԱՊՁԲ-ՏՔ-25/2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ԷԱՃԱՊՁԲ-ՏՔ-25/2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ՔԿ ԷԱՃԱՊՁԲ-ՏՔ-25/2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ՔԿ ԷԱՃԱՊՁԲ-ՏՔ-25/2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ԷԱՃԱՊՁԲ-ՏՔ-25/2»*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ԷԱՃԱՊՁԲ-ՏՔ-25/2*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ԷԱՃԱՊՁԲ-ՏՔ-25/2»*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ԷԱՃԱՊՁԲ-ՏՔ-25/2*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LBP 6020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MF 4870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MF 4410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i-SENSIS LBP 6030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MF 3010, տպիչների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