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ՎԱՌԵԼԻՔԻ N ՎԱ-ՍԱՏՄ-ԷԱՃԱՊՁԲ-25/23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ՎԱՌԵԼԻՔԻ N ՎԱ-ՍԱՏՄ-ԷԱՃԱՊՁԲ-25/23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ՎԱՌԵԼԻՔԻ N ՎԱ-ՍԱՏՄ-ԷԱՃԱՊՁԲ-25/23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ՎԱՌԵԼԻՔԻ N ՎԱ-ՍԱՏՄ-ԷԱՃԱՊՁԲ-25/23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ՎԱ-ՍԱՏՄ-ԷԱՃԱՊՁԲ-25/23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ՎԱ-ՍԱՏՄ-ԷԱՃԱՊՁԲ-25/23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ՎԱ-ՍԱՏՄ-ԷԱՃԱՊՁԲ-25/23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 Անհրաժեշտության դեպքում պայմանագրում կարող են ներառվել ՀՀ օրենսդրությանը չհակասող դրույթներ։</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Մաքսային միության ՄՄ ՏԿ 013/2011 տեխնիկական կանոնակարգի:
* Ապրանքի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