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губернатора Тавушской области РА публикует тендер и объявление на закупку жидкий газа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+374263-4-45-61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ՀՀՏՄ-ԷԱՃԱՊՁԲ-25/03</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губернатора Тавушской области РА публикует тендер и объявление на закупку жидкий газа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губернатора Тавушской области РА публикует тендер и объявление на закупку жидкий газа</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губернатора Тавушской области РА публикует тендер и объявление на закупку жидкий газа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398.5</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Природный газ
(транспортные средства)
заправлять сжиженным природным газом
для) Сжиженный природный газ
для снабжения Правительства Республики Армения
28.08.2008 № 1101-Н
АЗС
Строительство и эксплуатация
Второстепенный: Базовый
ингредиенты: пропан и
газ бутан:1) в баллоне
состав жидкого газа
должно быть а) вода в жидком газе
плотность пара 32
не более мг/м3 б) сернистые и
другие растворимые сульфиды от 23 мг/м3
не более в) кислорода не более 1%
больше (по объему) г)
углекислый газ не более 4%
больше (по объему) е)
водорода не более 0,1%
(по объему)
безопасность в соответствии с законодательством РА.
16.06.2005 Решением № 894
одобрено "Внутреннее сгорание"
моторное топливо
«технический регламент».
Основной компонент согласно РА
текущий технический
правила, ГОСТ 27577-2000
,доставка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