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HKAC-электронный аукцион по приобретению картриджей с тонером для нужд HKAC под кодом ՀԿԱԾ-ԷԱՃԱՊՁԲ-25/11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2025.03.13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HKAC-электронный аукцион по приобретению картриджей с тонером для нужд HKAC под кодом ՀԿԱԾ-ԷԱՃԱՊՁԲ-25/11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HKAC-электронный аукцион по приобретению картриджей с тонером для нужд HKAC под кодом ՀԿԱԾ-ԷԱՃԱՊՁԲ-25/11</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HKAC-электронный аукцион по приобретению картриджей с тонером для нужд HKAC под кодом ՀԿԱԾ-ԷԱՃԱՊՁԲ-25/11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ՀԿԱԾ-ԷԱՃԱՊՁԲ-25/11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ՀԿԱԾ-ԷԱՃԱՊՁԲ-25/11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для типографа HP LaserJet MFP 4103 DW, тираж не менее 9700 экземпляров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для типографа Canone i-sensys MF 453 dw, тираж не менее 10 000 экземпляров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40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40 календарных дней после предоставления соответствующих финансовых средств, но не позднее 10.12.2025.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