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бензина (обычный) для нужд ЗАО «Чаренцаванский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ՉԲԿ-ԷԱՃԱՊՁԲ-2025/14</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бензина (обычный) для нужд ЗАО «Чаренцаванский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бензина (обычный) для нужд ЗАО «Чаренцаванский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бензина (обычный) для нужд ЗАО «Чаренцаванский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моторному методу - не менее 81, давление насыщенных паров бензина - от 45 до 100 кПа, содержание свинца - не более 5 мг/дм3, объемная доля бензола - не более 1%, плотность - при температуре 15 °С - от 720 до 775 кг/м3, содержание серы - не более 10 мг/кг, массовая доля кислорода - не более 2,7%, объемная доля окислителей - не более: метанола-3%, этанола-5%, изопропилового спирта-10%, изобутилового спирта-10%, трет-бутилового спирта-7%, эфиров (С5 и выше) -15%, других окислителей -10%, безопасность, маркировка и упаковка - согласно Постановлению Правительства РА от 2004 года. «Технический регламент на топлива для двигателей внутреннего сгорания», утвержденный постановлением от 11 ноября № 1592-Н. Радиус 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