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HNA-EAChAPDzB-25/18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 и 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meri.grigoryan@president.am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HNA-EAChAPDzB-25/18</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 и 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 и дизельное топливо,</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meri.grigoryan@president.am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 и 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дизтоплива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HNA-EAChAPDzB-25/18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HNA-EAChAPDzB-25/18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автомобильный Премиум АИ-95-К5 соответствующий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(ТР ТС 013/2011). Внешний вид: чистый и прозрачный. Октановое число, не менее: по исследовательскому методу 95,0, давление насыщенных паров бензина: 35-80 кПа, содержание свинца не более 5 мг/дм3, объемная доля бензола не более 1%, массовая доля серы не более 10 мг/кг, массовая доля кислорода не более 2,7%. Поставка купонами. Купоны должны быть действительны в течение не менее 12 месяцев после дня доставки, они должны обслуживаться в г. Ереване (не менее 10 АЗС, как минимум одна в районе Кентрон) и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дизтоплива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соответствующее требованиям Технического регламента Таможенного союза (ТС 013/2011) «О требованиях к автомобильному и авиационному бензину, дизельному и судовому топливу, топливу для реактивных двигателей и мазуту». Поставка по талонам. Талоны должны быть действительны не менее 12 месяцев со дня поставки и подлежат обслуживанию по адресу: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120-й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дизтоплива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