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անջրաթափանց, սինթետիկ գործվածք ավարտական միջոցառման թիկնոցներ և գլխարկներ կարելու համար:   
Բաղադրություն՝ 100% պոլիէֆիր, 
Խտություն՝ 141 գ/մ 2,
Գույն՝ մուգ կապույտ, 
Լայնություն՝ 155 սմ ,
Երկարություն՝ 800մ2
Օգտագործման տիրույթ,
Հատուկ նշանակության հագուստ, սպասարկման ոլորտի հագուստ, 
գործվածքի խնամք,
Լվացքից հետո հարդարման հատկությունները պահպանելու համար / ապրանքը անպայման ենթարկվում է արդուկման:
Նմուշ օրինակը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Կրեմագույն(սառը երանգ)/բեժ գաբարդին (կարապ) տեսակի կտոր ավարտական հագուստի դեկորատիվ շարֆեր կարելու համար 
Բաղադրություն` 100% պոլիէսթեր
Խտություն` 160-270 գ/մ2
Երկարություն` 150 մ2
Լայնություն` 150սմ
Գույն` կրեմագույն(սառը երանգ)/բեժ 
Նմուշ օրինակը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