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ՀԱՊՀ-ԷԱԾՁԲ-25/3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Ավետիսյան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lusine-avetisyan-1981@mail.ru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ՀԱՊՀ-ԷԱԾՁԲ-25/3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ՀԱՊՀ-ԷԱԾՁԲ-25/3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lusine-avetisyan-1981@mail.ru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«ՀԱՅԱՍՏԱՆԻ ԱԶԳԱՅԻՆ ՊՈԼԻՏԵԽՆԻԿԱԿԱՆ ՀԱՄԱԼՍԱՐԱՆ» ՀԻՄՆԱԴՐԱՄԻ ԿԱՐԻՔՆԵՐԻ ՀԱՄԱՐ ՀԱՊՀ-ԷԱԾՁԲ-25/3 ԾԱԾԿԱԳՐՈՎ, ԷԼԵԿՏՐՈՆԱՅԻՆ ԱՃՈՒՐԴՈՎ ՀԱՆՐԱՅԻՆ ՀԵՌԱԽՈՍԱՅԻՆ  ԾԱՌԱՅՈՒԹՅՈՒՆՆԵՐԻ ԳՆՄԱՆ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ՀԱՊՀ-ԷԱԾՁԲ-25/3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ՀԱՊՀ-ԷԱԾՁԲ-25/3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«ՀԱՊՀ-ԷԱԾՁԲ-25/3»*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«ՀԱՊՀ-ԷԱԾՁԲ-25/3»*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ՀԱՊՀ ՀԻՄՆԱԴՐԱՄԻ ԿԱՐԻՔՆԵՐԻ ՀԱՄԱՐ ՀԱՆՐԱՅԻՆ ՀԵՌԱԽՈՍԱՅԻՆ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տարի ժամկետով ընդ որում  2026, 2027, 2028 թվականների համար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