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դեղորայքի  ձեռքբերման նպատակով ՀԱԱՀ-ԷԱՃԱՊՁԲ-25/21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դեղորայքի  ձեռքբերման նպատակով ՀԱԱՀ-ԷԱՃԱՊՁԲ-25/21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դեղորայքի  ձեռքբերման նպատակով ՀԱԱՀ-ԷԱՃԱՊՁԲ-25/21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դեղորայքի  ձեռքբերման նպատակով ՀԱԱՀ-ԷԱՃԱՊՁԲ-25/21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/փոշիով/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ժամկետը սահմանվում է յուրաքանչյուր չափաբաժնի մասով առանձին՝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/փոշիով/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ոչ ստերիլ, մեկանգամյա օգտա¬գործ¬ման, փոշիով: Պատրաստված են բարձորակ լատեքսից, հյուս¬վածքային մակերեսով, թղթյա տուփով, 1 տուփի մեջ 100 հատ: Չափսը՝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ժապավենի մի հատված է, 1,9 × 7,2 սմ, որի միջին մասում ամրացված է ներծծող ստերիլ բարձիկ։ Նախատեսված է փոքր վերքերի վրա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չոր մզվածք ։ 
Վալերիանան պարունակում է. Extractum Valerianae siccum 30 մգ: Որպես օժանդակ նյութեր օգտագործվել են Avicel pH 101, լակտոզա, կոլիդոն VA64, aerosil 200, թալք և մագնեզիումի ստեարատ: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200մգ/մլ, 30մլ ապակե սրվակ: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նատրիումի, 500մգ անալգին 1 թերթիկի վրա առնվազն  10 հաբ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մեբհիդրոլին նապադիզիատ/ 50մգ, /դիազոլին/ ։ Դեղի ակտիվ բաղադրիչը մեբրիտրոլինա նիզիալաթն է: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նոշպա։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/levomenthol solution in menthy isovalerate /60մգ/ վալիդոլ/ ։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դ/հ։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հաբ 50մգ։  Դեղամիջոցների մնացորդային պիտանելիության ժամկետները հանձման պահին պետք է համապատասխանեն ՀՀ կառավարության 02.05. 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0,3գ N10։Դեղամիջոցների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500մգ մետամիզոլ, 20մգ տեմպիդոն/ տեմ¬պալգին/ 
Ունի արտահայտված երկարատև ցավազրկող և ջերմիջեցնող հատկություն չափավոր հակաբորբոքային ազդեցությամբ: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10%, 30մգ։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դեղահատեր 10մգ N50,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դեղահատեր,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Աբովյան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/փոշիով/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խոնավածուծ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Վալերիանի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Ստրեպտոցիդի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