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EACH-APDzB-ANALITIK/SP-25/02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Analitik CJSC</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спектографа для нужд ЗАО Аналитик EACH-APDzB-ANALITIK/SP-25/02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analitikcjsc@mail.ru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055465456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Analitik CJSC</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EACH-APDzB-ANALITIK/SP-25/02</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Analitik CJSC</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Analitik CJSC</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спектографа для нужд ЗАО Аналитик EACH-APDzB-ANALITIK/SP-25/02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спектографа для нужд ЗАО Аналитик EACH-APDzB-ANALITIK/SP-25/02</w:t>
      </w:r>
      <w:r>
        <w:rPr>
          <w:rFonts w:ascii="Calibri" w:hAnsi="Calibri" w:cstheme="minorHAnsi"/>
          <w:b/>
          <w:lang w:val="ru-RU"/>
        </w:rPr>
        <w:t xml:space="preserve">ДЛЯ НУЖД  </w:t>
      </w:r>
      <w:r>
        <w:rPr>
          <w:rFonts w:ascii="Calibri" w:hAnsi="Calibri" w:cstheme="minorHAnsi"/>
          <w:b/>
          <w:sz w:val="24"/>
          <w:szCs w:val="24"/>
          <w:lang w:val="af-ZA"/>
        </w:rPr>
        <w:t>Analitik CJSC</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EACH-APDzB-ANALITIK/SP-25/02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analitikcjsc@mail.ru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спектографа для нужд ЗАО Аналитик EACH-APDzB-ANALITIK/SP-25/02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EACH-APDzB-ANALITIK/SP-25/02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Analitik CJSC</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"EACH-APDzB-ANALITIK/SP-25/02"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Analitik CJSC*(далее — Заказчик) процедуре закупок под кодом EACH-APDzB-ANALITIK/SP-25/02*.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"EACH-APDzB-ANALITIK/SP-25/02"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Analitik CJSC*(далее — Заказчик) процедуре закупок под кодом EACH-APDzB-ANALITIK/SP-25/02*.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Analitik CJSC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EACH-APDzB-ANALITIK/SP-25/02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__</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но не позднее 20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