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для нужд Института фармации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ԵՊՀ-ԷԱՃԱՊՁԲ-25/77</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для нужд Института фармации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для нужд Института фармации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для нужд Института фармации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фармации.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кондиционера сплит-системы (БТЕ): 18000
 (охлаждение/обогрев) кВт не менее 2,25/2,15
Основные режимы: Отопление/Охлаждение,
Мин. теплый. в режиме обогрева (не менее -7*С)
Средняя площадь (м2) не менее 60
Внутренний/внешний шум (дБ) не менее 43/54
Тепловая мощность (кВт) максимальная 5,4
Мощность охлаждения (кВт) максимальная 5,2
Тип газа R410a
Поставляемый товар должен быть новым, не бывшим в употреблении. Транспортировка, разгрузка, монтаж и подключение товара осуществляются поставщиком своими силами и за свой счет. Участник должен предоставить информацию о товарном знаке, фирменном наименовании, модели и производителе предлагаемого товара. Гарантийный срок на товар устанавливается не менее 3 лет со дня, следующего за днем ​​приемки товара покупателем. В целях осуществления гарантийного обслуживания Поставщик осуществляет двухстороннюю транспортировку и разгрузку товара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сплит-система мощностью: не менее 9000 BTU, обеспечивающий площадь не менее 30 м2 и более, компрессор-инвертор, режимы: Охлаждение, обогрев, самоочистка, класс энергоэффективности: не менее А, тип газа: R410A, уровень шума внутреннего/наружного блока не менее 48/56 дБ, напряжение электропитания не менее 220-240В/50Гц, дистанционное управление и класс влагозащиты наружных блоков IPX4. Поставляемый товар должен быть новым, не бывшим в употреблении. Поставщик осуществляет транспортировку, разгрузку, монтаж и подключение товара своими силами и за свой счет. Участник должен предоставить информацию о товарном знаке, фирменном наименовании, модели и производителе предлагаемого товара. Гарантия на товар составляет не менее 3 лет со дня, следующего за днем ​​приемки товара заказчиком. Для обеспечения гарантийного обслуживания Поставщик осуществляет двустороннюю транспортировку и разгрузку продукции собственными силами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