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դեղորայք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դեղորայք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դեղորայք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դեղորայք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Էլեկտրոնեյրոմիոգրագ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ԵՊԷԱՃ25-13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ԵՊԷԱՃ25-13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ն/լներարկման լուծույթ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50մկգ բլիստերիում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2մլ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ջրային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մանր բյուրեղներ կամ թեթև բյուրեղական փոշի անհոտ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ջրային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պարզ,անգույն հեղուկ ջրում լուծելի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հետքեր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 2.7մլ 32.% 13*75մմ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210*140 հիմքը ջերմային թուղթ լայնությունը 210մմ, երկարությունը 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մակ անգամյա օգտագործման ներարկիչ ասեղով, ծավալը 10մլ 0.5մ բաժանումներով ասեղի չափսերը G21 1/2-0.8-40մմ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ջերմային թուղթ նախատեսված Mikros ES60 հեմատոլոգիական վերլուծիչ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300մգ/մլ 10մլ ներարկման լուծույթ ներերակային ներարկման առնվազն 3տարի ժամկետ, սպասարկման պահին առնվազն 24ամիս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ջերմային NX600,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ալիք + համակարգչային ծրագրային ապահովում՝ Երաշխիք 2տարի, նոր չօգտագործված։ Մատակարարման ժամկետ 30-օր ։ Վճարումը տրամադրելուց 2 ամսվա ընթացքում։ Արտադրողի կողմից ավտորիզացիան պարտադիր է։  Կցված է ֆայլ մանրամասն տեխ բնութագրով՝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Էլեկտրոնեյրոմիոգրագ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3-ալիքանի + համապատասխան սայլակ + օնլայն 1կՎտ UPS + գործարանային հավաքած համակարգիչ + 23” մոնիտոր + HP տպիչ։ Երաշխիք 2տարի, նոր չօգտագործված։ Մատակարարման ժամկետ 30- օր ։ Վճարումը տրամադրելուց 2 ամսվա ընթացքում։ Արտադրողի կողմից ավտորիզացիան պարտադիր է։   Կցված է ֆայլ մանրամասն տեխ բնութագրով՝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Հագեցած ավելի շատ ծրագրերով + 4 հատ տվիչ + պրինտեր, ջերմային տպիչով և սայլակով ։   Երաշխիք 2տարի, նոր չօգտագործված։ Մատակարարման ժամկետ 30- օր ։ Վճարումը տրամադրելուց 2 ամսվա ընթացքում։ Արտադրողի կողմից ավտորիզացիան պարտադիր է։ Կցված է ֆայլ մանրամասն տեխ բնութագրով՝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բլիստերիում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