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Бытовая техника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PPC-EAAPDZB-2025/20</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Бытовая техника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Бытовая техника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Бытовая техника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см. спецификацию товара для каждого лота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Рабочая площадь: 40 кв. м Мощность: 12000 BTU․ 
Монтаж осуществляется организацией-поставщиком, при необходимости с автовышкой.
Труба: (в случае установки) 5M Рабочая температура՝ До -7 0C --150C 
Тип газа: R410 - R410a. 
Режимы: охлаждение и обогрев. Гарантийное обслуживание: не менее 1095 дней Послегарантийное обслуживание՝ организация-поставщик должна иметь сервисный центр.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Рабочая площадь: 60 кв. м Мощность: 18000 BTU
Монтаж осуществляется организацией-поставщиком, при необходимости с автовышкой.
Труба: (в случае установки) 5M Рабочая температура՝ До -7 0C -150C
Тип газа: R410- R410a։
Режимы: охлаждение и обогрев. Гарантийное обслуживание: не менее 1095 дней.
Послегарантийное обслуживание՝ организация-поставщик должна иметь сервисный центр.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Морозилка в холодильнике. Дверей 1, система охлаждения оттайка, общий полезный объем не менее 90 л,
уровень шума не менее (дБ) 39 дБ, размеры не менее 48х85х45 см. Гарантийное обслуживание: не менее 730 дней. Послегарантийное обслуживание: у организации-поставщика должен быть сервисный центр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Система охлаждения нофрост, 2 двери, морозильная камера снизу. Объем холодильника не менее 188 л, объем морозильной камеры не менее 67 л,
уровень шума не менее (дБ) 39 дБ, желательно с диспенсером для воды. Размеры не менее 55х55х180 см. Гарантийное обслуживание: не менее 730 дней. Послегарантийное обслуживание: у организации-поставщика должен быть сервисный центр.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мая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