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ՊՎԾ-ԷԱՃԾՁԲ-25/08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ՊՎԾ-ԷԱՃԾՁԲ-25/08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ՊՎԾ-ԷԱՃԾՁԲ-25/08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2025.04.01.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ՊՎԾ-ԷԱՃԾՁԲ-25/08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ՊՎԾ-ԷԱՃԾՁԲ-25/08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«ՊՎԾ-ԷԱՃԾՁԲ-25/08»*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«ՊՎԾ-ԷԱՃԾՁԲ-25/08»*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պետական վերահսկողական ծառայության կարիքների համար հաշվապահական համակարգչային ծրագրային փաթեթների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««1C-Լինկ: Հաշվապահություն բյուջետային հիմնարկների համար 8», «1C-Լինկ. Աշխատավարձ և կադրերի կառավարում», «1C-Լինկ: Հաշվապահություն բյուջետային հիմնարկների համար 7.7» ցանցային ծրագրերի փաթեթի սպասարկման եւ ուղեկցման ծառայություններ (վերը նշված ծրագրային փաթեթը նախատեսված է 4 աշխատատեղի համար): 
Ծառայությունը ներառում է՝
1.1	Խորհրդատվություններ ծրագրի հետ աշխատելու վերաբերյալ (Հեռախոսով կամ Ծառայությունները ստացողի տարածքում):
1.2	Ծրագրի թարմացում՝ համաձայն օրենսդրական փոփոխությունների:
1.3	Ծրագրի կոնֆիգուրացիայի թարմացում, եթե Ծառայությունները մատուցողը թողարկել է Ծրագրի նոր կոնֆիգուրացիա:
1.4	Փոփոխությունների մասին տեղեկատվության տրամադրում:
1.5	Անհրաժեշտ տեղեկատվության ներբեռնում և արտահանում ծրագիր՝ Պատվիրատուի կողմից տրամադրվող ձևաչափով:
1.6 Տեխնիկական սպասարկում Պատվիրատուի տարածքում ժամը 10:00-17:00 ժամանակահատվածում հետևյալ հարցերով
•	բազայի արխիվացում և վերականգնում, 
•	Ծրագրի տեխնիկական հարցերով աջակցություն,
•	Ծրագրի վերատեղակայման աշխատանքներ, 
•	Ծրագրի հետ աշխատելու մեթոդաբանություն.
2.	Այցելել/արձագանքել Պատվիրատուին ըստ կանչի՝ ոչ ուշ, քան կանչը ստանալուց հետո առնվազն 2 աշխատանքային օրվա ընթացքում: Հայտնաբերված խնդիրները, որոնք կախված չեն Համակարգի տիպային կոնֆիգուրացիայի սխալներից, շտկել՝ ոչ ուշ, քան խնդիրը հայտնաբերելու պահից մինչև 3 աշխատանքային օրվա ընթացքում՝ կախված խնդրի բարդությունից: 
3.	Ծրագրի սպասարկման ծառայություններն իրականացնել հանրային հատվածի հաշվապահական հաշվառման օրենսդրությանը համապատասխան, հայերեն լեզվով:
Պահպանել Պատվիրատուի բոլոր տեղեկությունները, որոնք հայտնի են դարձել Ծառայությունները մատուցողին՝ ծառայությունները մատուցելու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