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KSHMP-EAAPDzB-25/27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KSHMP-EAAPDzB-25/27</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KSHMP-EAAPDzB-25/27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KSHMP-EAAPDzB-25/27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KSHMP-EAAPDzB-25/27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Photinia 'Red Robin'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Куст высотой 55 см и более, диаметром 50 см и более, при обрезке формируется в шарообразную плотную крону, с черешками длиной 5-8 см, с закрытой корневой системой (в горшке) Транспортировка и обработка товара осуществляется продавцом за свой счет. Заказчик может запросить копию фитосанитарного сертификата на ввозимый в Армению посадочный материал, а в случае местного посадочного материала  соответствующие паспорта.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4-й переулок Арцаха, территория здания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21 календарный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Фотиния 'Ред Робин'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