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գրենական պիտույքների և գրասենյակային նյութերի ձեռքբերման նպատակով ՀԳՊԱ-ԷԱՃԱՊՁԲ-2025/10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գրենական պիտույքների և գրասենյակային նյութերի ձեռքբերման նպատակով ՀԳՊԱ-ԷԱՃԱՊՁԲ-2025/10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գրենական պիտույքների և գրասենյակային նյութերի ձեռքբերման նպատակով ՀԳՊԱ-ԷԱՃԱՊՁԲ-2025/10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գրենական պիտույքների և գրասենյակային նյութերի ձեռքբերման նպատակով ՀԳՊԱ-ԷԱՃԱՊՁԲ-2025/10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/գրատախտակի/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/ընդգծող/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/60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/20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/մարկերային/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/օրակալ/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/400գ/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ստվարաթուղթ/600գ/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/750գ/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/1250գ/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/2150գ/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250գր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200գր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120գր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250գր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120գր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200գր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վատման /240գ/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վատման /300գ/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թուղթ  A2, 300գր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ՀԳՊԱ-ԷԱՃԱՊՁԲ-2025/10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/ընդգծող/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/60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/20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/մարկերային/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/օրակալ/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/400գ/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ստվարաթուղթ/600գ/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/750գ/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/1250գ/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/2150գ/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250գր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200գր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120գր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250գր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120գր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200գր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վատման /240գ/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վատման /300գ/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թուղթ  A2, 300գր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/ընդգծող/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/60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/20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/մարկերային/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/օրակալ/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/400գ/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ստվարաթուղթ/600գ/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/750գ/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/1250գ/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/2150գ/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250գր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200գր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120գր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250գր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120գր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200գր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վատման /240գ/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վատման /300գ/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թուղթ  A2, 300գր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