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25RG-3A048 և 25RG-3A058 թեմատիկ ֆինանսավորվող ծածկագրերի շրջանակներում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25RG-3A048 և 25RG-3A058 թեմատիկ ֆինանսավորվող ծածկագրերի շրջանակներում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25RG-3A048 և 25RG-3A058 թեմատիկ ֆինանսավորվող ծածկագրերի շրջանակներում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25RG-3A048 և 25RG-3A058 թեմատիկ ֆինանսավորվող ծածկագրերի շրջանակներում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ԹԵՄԱՏԻԿ ՖԻՆԱՆՍԱՎՈՐՎՈՂ ԾՐԱԳՐԵՐԻ ՇՐՋԱՆԱԿՆԵՐՈՒՄ ՎԱՌԵԼԻՔԻ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