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938" w:type="dxa"/>
        <w:tblLayout w:type="fixed"/>
        <w:tblLook w:val="04A0" w:firstRow="1" w:lastRow="0" w:firstColumn="1" w:lastColumn="0" w:noHBand="0" w:noVBand="1"/>
      </w:tblPr>
      <w:tblGrid>
        <w:gridCol w:w="535"/>
        <w:gridCol w:w="1346"/>
        <w:gridCol w:w="1357"/>
        <w:gridCol w:w="8907"/>
        <w:gridCol w:w="843"/>
        <w:gridCol w:w="950"/>
      </w:tblGrid>
      <w:tr w:rsidR="009D439E" w:rsidRPr="00E84B1D" w14:paraId="39C502C3" w14:textId="77777777" w:rsidTr="00AF36EE">
        <w:tc>
          <w:tcPr>
            <w:tcW w:w="535" w:type="dxa"/>
            <w:vAlign w:val="center"/>
          </w:tcPr>
          <w:p w14:paraId="4471959D" w14:textId="696EB20E" w:rsidR="00A623EA" w:rsidRPr="00E84B1D" w:rsidRDefault="00A623EA" w:rsidP="00A623EA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Չ/հ</w:t>
            </w:r>
          </w:p>
        </w:tc>
        <w:tc>
          <w:tcPr>
            <w:tcW w:w="1346" w:type="dxa"/>
            <w:vAlign w:val="center"/>
          </w:tcPr>
          <w:p w14:paraId="548583F9" w14:textId="7E4E9C73" w:rsidR="00A623EA" w:rsidRPr="00E84B1D" w:rsidRDefault="00A623EA" w:rsidP="00A623EA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Միջանցիկ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ծածկագիրը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`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ըստ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ԳՄԱ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դասակարգման</w:t>
            </w:r>
            <w:proofErr w:type="spellEnd"/>
          </w:p>
        </w:tc>
        <w:tc>
          <w:tcPr>
            <w:tcW w:w="1357" w:type="dxa"/>
            <w:vAlign w:val="center"/>
          </w:tcPr>
          <w:p w14:paraId="2124BC6E" w14:textId="6624CD31" w:rsidR="00A623EA" w:rsidRPr="00E84B1D" w:rsidRDefault="00A623EA" w:rsidP="00A623EA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Անվանում</w:t>
            </w:r>
            <w:proofErr w:type="spellEnd"/>
          </w:p>
        </w:tc>
        <w:tc>
          <w:tcPr>
            <w:tcW w:w="8907" w:type="dxa"/>
            <w:vAlign w:val="center"/>
          </w:tcPr>
          <w:p w14:paraId="195D7AB1" w14:textId="1DDA7EC4" w:rsidR="00A623EA" w:rsidRPr="00E84B1D" w:rsidRDefault="00A300D8" w:rsidP="00A300D8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Տեխնիկական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բնութագիր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>*</w:t>
            </w:r>
          </w:p>
        </w:tc>
        <w:tc>
          <w:tcPr>
            <w:tcW w:w="843" w:type="dxa"/>
            <w:vAlign w:val="center"/>
          </w:tcPr>
          <w:p w14:paraId="32388AA7" w14:textId="55F7C8A9" w:rsidR="00A623EA" w:rsidRPr="00E84B1D" w:rsidRDefault="00640BDB" w:rsidP="00640BDB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Չ/մ</w:t>
            </w:r>
          </w:p>
        </w:tc>
        <w:tc>
          <w:tcPr>
            <w:tcW w:w="950" w:type="dxa"/>
            <w:vAlign w:val="center"/>
          </w:tcPr>
          <w:p w14:paraId="3E2C04E8" w14:textId="75444E3D" w:rsidR="00A623EA" w:rsidRPr="00E84B1D" w:rsidRDefault="00640BDB" w:rsidP="00640BDB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Քանակ</w:t>
            </w:r>
            <w:proofErr w:type="spellEnd"/>
          </w:p>
        </w:tc>
      </w:tr>
      <w:tr w:rsidR="00C44861" w:rsidRPr="00E84B1D" w14:paraId="1115C99D" w14:textId="77777777" w:rsidTr="00AF36EE">
        <w:tc>
          <w:tcPr>
            <w:tcW w:w="535" w:type="dxa"/>
            <w:vAlign w:val="center"/>
          </w:tcPr>
          <w:p w14:paraId="5607BB72" w14:textId="650A2FDB" w:rsidR="00C44861" w:rsidRPr="00E84B1D" w:rsidRDefault="00C44861" w:rsidP="00E84B1D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1</w:t>
            </w:r>
          </w:p>
        </w:tc>
        <w:tc>
          <w:tcPr>
            <w:tcW w:w="1346" w:type="dxa"/>
            <w:vAlign w:val="center"/>
          </w:tcPr>
          <w:p w14:paraId="01AEDEA2" w14:textId="7E08EDEB" w:rsidR="00C44861" w:rsidRPr="00E84B1D" w:rsidRDefault="00C44861" w:rsidP="00E84B1D">
            <w:pPr>
              <w:jc w:val="center"/>
              <w:rPr>
                <w:rFonts w:ascii="GHEA Grapalat" w:hAnsi="GHEA Grapalat" w:cs="Calibri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09132200</w:t>
            </w:r>
            <w:r w:rsidR="00AF36EE"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/2</w:t>
            </w:r>
          </w:p>
        </w:tc>
        <w:tc>
          <w:tcPr>
            <w:tcW w:w="1357" w:type="dxa"/>
            <w:vAlign w:val="center"/>
          </w:tcPr>
          <w:p w14:paraId="2C9F94A4" w14:textId="0BCBAE6D" w:rsidR="00C44861" w:rsidRPr="00E84B1D" w:rsidRDefault="00AF36EE" w:rsidP="00E84B1D">
            <w:pPr>
              <w:jc w:val="center"/>
              <w:rPr>
                <w:rFonts w:ascii="GHEA Grapalat" w:hAnsi="GHEA Grapalat" w:cs="Calibri"/>
                <w:sz w:val="18"/>
                <w:szCs w:val="20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Վառելիք</w:t>
            </w:r>
          </w:p>
        </w:tc>
        <w:tc>
          <w:tcPr>
            <w:tcW w:w="8907" w:type="dxa"/>
            <w:vAlign w:val="center"/>
          </w:tcPr>
          <w:p w14:paraId="6BAD4F18" w14:textId="77777777" w:rsidR="00E84B1D" w:rsidRDefault="00E84B1D" w:rsidP="00E84B1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</w:p>
          <w:p w14:paraId="3049F923" w14:textId="12566FCE" w:rsidR="00C44861" w:rsidRDefault="00AF36EE" w:rsidP="00E84B1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Բենզին ռեգուլյար: Արտաքին տեսքը` մաքուր և պարզ</w:t>
            </w:r>
            <w:r w:rsid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:</w:t>
            </w: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 xml:space="preserve"> </w:t>
            </w:r>
            <w:r w:rsid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Օ</w:t>
            </w: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0C ջերմաստիճանում` 720-ից մինչև 775 կգ/մ3 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օքսիդիչներ-10 %: Անվտանգությունը, մակնշումը` ըստ ՀՀ կառավարության 2004 թվականի նոյեմբերի 11-ի N 1592-Ն որոշմամբ հաստատված «Ներքին այրման շարժիչային վառելիքների տեխնիկական կանոնակարգի»: Մատակարարումը՝ կտրոնային: Ներկայացնել որակի համապատասխանության սերտիֆիկատ, եթե այն կիրառելի է տվյալ ապրանքի համար: Վաճառողը պետք է ունենա սպասարկման կետեր/բենզալցակայաններ/ հետևյալ քաղաքներում ք.Երևան, ք.Աբովյան, ք.Եղվարդ, ք.Չարենցավան, ք.Հրազդան, ք.Սևան, ք.Գավառ, ք.Մարտունի, ք.Վարդենիս, ք.Դիլիջան, ք.Վանաձոր, ք.Ստեփանավան, ք.Ալավերդի, ք.Նոյեմբերյան, ք.Իջևան, ք.Սպիտակ, ք.Ապարան, ք.Աշտարակ, ք.Արմավիր, ք.Էջմիածին, ք.Թալին, ք.Գյումրի, ք.Արտաշատ, ք.Եղեգնաձոր, ք.Սիսիան, ք.Վայք, ք.Գորիս, ք.Ագարակ: Սահմանված ժամկետում չօգտագործված կտրոնների առկայության դեպքում դրանք պետք է փոխարինել նոր կտրոններով: Կտրոնները պետք է լինեն չօգտագործված: Մասնակիցը պայմանագրի կնքման փուլում պետք է ներկայացնի բենզալցակայանների գտնվելու վայրերը, համաձայն որի տրամադրված կտրոններով ավտոմեքենաները կկարողանան լիցքավորում կատարել ՀՀ բոլոր մարզերում, նշի բոլոր</w:t>
            </w:r>
            <w:r w:rsidR="00E84B1D"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 xml:space="preserve"> լ</w:t>
            </w: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ցակայանների գտնվելու վայրերը:</w:t>
            </w:r>
          </w:p>
          <w:p w14:paraId="01161C5E" w14:textId="14A24551" w:rsidR="00E84B1D" w:rsidRPr="00E84B1D" w:rsidRDefault="00E84B1D" w:rsidP="00E84B1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</w:p>
        </w:tc>
        <w:tc>
          <w:tcPr>
            <w:tcW w:w="843" w:type="dxa"/>
            <w:vAlign w:val="center"/>
          </w:tcPr>
          <w:p w14:paraId="484B02E3" w14:textId="3BE7A027" w:rsidR="00C44861" w:rsidRPr="00E84B1D" w:rsidRDefault="00C44861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լիտր</w:t>
            </w:r>
          </w:p>
        </w:tc>
        <w:tc>
          <w:tcPr>
            <w:tcW w:w="950" w:type="dxa"/>
            <w:vAlign w:val="center"/>
          </w:tcPr>
          <w:p w14:paraId="00BA95E9" w14:textId="74503A23" w:rsidR="00C44861" w:rsidRPr="00E84B1D" w:rsidRDefault="00AF36EE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900</w:t>
            </w:r>
          </w:p>
        </w:tc>
      </w:tr>
    </w:tbl>
    <w:p w14:paraId="3B9FFD2B" w14:textId="77777777" w:rsidR="00E84B1D" w:rsidRDefault="002B5C55" w:rsidP="00E84B1D">
      <w:pPr>
        <w:spacing w:after="0"/>
        <w:ind w:firstLine="720"/>
        <w:jc w:val="both"/>
        <w:rPr>
          <w:rFonts w:ascii="GHEA Grapalat" w:hAnsi="GHEA Grapalat"/>
          <w:sz w:val="18"/>
          <w:szCs w:val="20"/>
        </w:rPr>
      </w:pPr>
      <w:r w:rsidRPr="00E84B1D">
        <w:rPr>
          <w:rFonts w:ascii="GHEA Grapalat" w:hAnsi="GHEA Grapalat"/>
          <w:sz w:val="18"/>
          <w:szCs w:val="20"/>
          <w:lang w:val="hy-AM"/>
        </w:rPr>
        <w:t>*</w:t>
      </w:r>
      <w:r w:rsidRPr="00E84B1D">
        <w:rPr>
          <w:rFonts w:ascii="GHEA Grapalat" w:hAnsi="GHEA Grapalat"/>
          <w:sz w:val="18"/>
          <w:szCs w:val="20"/>
        </w:rPr>
        <w:t xml:space="preserve"> </w:t>
      </w:r>
    </w:p>
    <w:p w14:paraId="194DEEB3" w14:textId="77777777" w:rsidR="00E84B1D" w:rsidRDefault="002B5C55" w:rsidP="00E84B1D">
      <w:pPr>
        <w:spacing w:after="0"/>
        <w:ind w:firstLine="720"/>
        <w:jc w:val="both"/>
        <w:rPr>
          <w:rFonts w:ascii="GHEA Grapalat" w:hAnsi="GHEA Grapalat"/>
          <w:sz w:val="18"/>
          <w:szCs w:val="20"/>
          <w:lang w:val="hy-AM"/>
        </w:rPr>
      </w:pPr>
      <w:r w:rsidRPr="00E84B1D">
        <w:rPr>
          <w:rFonts w:ascii="GHEA Grapalat" w:hAnsi="GHEA Grapalat"/>
          <w:sz w:val="18"/>
          <w:szCs w:val="20"/>
          <w:lang w:val="ru-RU"/>
        </w:rPr>
        <w:t>Մասնակցի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կողմից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ապրանքի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անվանումը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և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տեխնիկական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բնութագիրը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պետք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է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համապատասխանեն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հրավերով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սահմանված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տեխնիկական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բնութագրի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նվազագույն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պահանջներին</w:t>
      </w:r>
      <w:r w:rsidRPr="00E84B1D">
        <w:rPr>
          <w:rFonts w:ascii="GHEA Grapalat" w:hAnsi="GHEA Grapalat"/>
          <w:sz w:val="18"/>
          <w:szCs w:val="20"/>
        </w:rPr>
        <w:t xml:space="preserve">: </w:t>
      </w:r>
      <w:r w:rsidRPr="00E84B1D">
        <w:rPr>
          <w:rFonts w:ascii="GHEA Grapalat" w:hAnsi="GHEA Grapalat"/>
          <w:sz w:val="18"/>
          <w:szCs w:val="20"/>
          <w:lang w:val="ru-RU"/>
        </w:rPr>
        <w:t>Տվյալ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դեպքում</w:t>
      </w:r>
      <w:r w:rsidRPr="00E84B1D">
        <w:rPr>
          <w:rFonts w:ascii="GHEA Grapalat" w:hAnsi="GHEA Grapalat"/>
          <w:sz w:val="18"/>
          <w:szCs w:val="20"/>
        </w:rPr>
        <w:t xml:space="preserve">, </w:t>
      </w:r>
      <w:r w:rsidRPr="00E84B1D">
        <w:rPr>
          <w:rFonts w:ascii="GHEA Grapalat" w:hAnsi="GHEA Grapalat"/>
          <w:sz w:val="18"/>
          <w:szCs w:val="20"/>
          <w:lang w:val="ru-RU"/>
        </w:rPr>
        <w:t>եթե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գնահատող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հանձնաժողովը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մասնակցի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կողմից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հայտով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առաջարկվող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ապրանքի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ամբողջական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նկարագրում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արձանագրում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է</w:t>
      </w:r>
      <w:r w:rsidRPr="00E84B1D">
        <w:rPr>
          <w:rFonts w:ascii="GHEA Grapalat" w:hAnsi="GHEA Grapalat"/>
          <w:sz w:val="18"/>
          <w:szCs w:val="20"/>
        </w:rPr>
        <w:t xml:space="preserve">  </w:t>
      </w:r>
      <w:r w:rsidRPr="00E84B1D">
        <w:rPr>
          <w:rFonts w:ascii="GHEA Grapalat" w:hAnsi="GHEA Grapalat"/>
          <w:sz w:val="18"/>
          <w:szCs w:val="20"/>
          <w:lang w:val="ru-RU"/>
        </w:rPr>
        <w:t>հրավերով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սահմանված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պահանջների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նկատմամբ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անհամապատասխանություններ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և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դրանք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սահմանված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կարգով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չեն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շտկվում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մասնակցի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կողմից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կամ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շտկման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արդյունքում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առաջանում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են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այլ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անհամապատասխանություններ</w:t>
      </w:r>
      <w:r w:rsidRPr="00E84B1D">
        <w:rPr>
          <w:rFonts w:ascii="GHEA Grapalat" w:hAnsi="GHEA Grapalat"/>
          <w:sz w:val="18"/>
          <w:szCs w:val="20"/>
        </w:rPr>
        <w:t xml:space="preserve">, </w:t>
      </w:r>
      <w:r w:rsidRPr="00E84B1D">
        <w:rPr>
          <w:rFonts w:ascii="GHEA Grapalat" w:hAnsi="GHEA Grapalat"/>
          <w:sz w:val="18"/>
          <w:szCs w:val="20"/>
          <w:lang w:val="ru-RU"/>
        </w:rPr>
        <w:t>ապա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նշված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հանգամանքը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հանդիսանում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է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տվյալ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մասնակցի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հայտը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անբավարար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գնահատելու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և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մերժելու</w:t>
      </w:r>
      <w:r w:rsidRPr="00E84B1D">
        <w:rPr>
          <w:rFonts w:ascii="GHEA Grapalat" w:hAnsi="GHEA Grapalat"/>
          <w:sz w:val="18"/>
          <w:szCs w:val="20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հիմք</w:t>
      </w:r>
      <w:r w:rsidR="00AF36EE" w:rsidRPr="00E84B1D">
        <w:rPr>
          <w:rFonts w:ascii="GHEA Grapalat" w:hAnsi="GHEA Grapalat"/>
          <w:sz w:val="18"/>
          <w:szCs w:val="20"/>
          <w:lang w:val="hy-AM"/>
        </w:rPr>
        <w:t>:</w:t>
      </w:r>
    </w:p>
    <w:p w14:paraId="511F1901" w14:textId="2CA6E28C" w:rsidR="00AF36EE" w:rsidRPr="00E84B1D" w:rsidRDefault="00AF36EE" w:rsidP="00E84B1D">
      <w:pPr>
        <w:spacing w:after="0"/>
        <w:ind w:firstLine="720"/>
        <w:jc w:val="both"/>
        <w:rPr>
          <w:rFonts w:ascii="GHEA Grapalat" w:hAnsi="GHEA Grapalat"/>
          <w:sz w:val="18"/>
          <w:szCs w:val="20"/>
          <w:lang w:val="hy-AM"/>
        </w:rPr>
      </w:pPr>
      <w:r w:rsidRPr="00E84B1D">
        <w:rPr>
          <w:rFonts w:ascii="GHEA Grapalat" w:hAnsi="GHEA Grapalat"/>
          <w:sz w:val="18"/>
          <w:szCs w:val="20"/>
          <w:lang w:val="hy-AM"/>
        </w:rPr>
        <w:t>Մատակարարված ապրանքների դիմաց վճարումն իրականացվելու է ՀՀ դրամով անկանխիկ`դրամական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վճարման  ժամանակացույցով նախատեսված ամիսներին, 5 աշխատանքային օրվա ընթացքում, բայց ոչ ուշ, քան մինչև տվյալ տարվա դեկտեմբերի 30-ը:  Վճարման ժամանակացույցի մեկնարկը սահմանվում է ապրիլ ամիսը:</w:t>
      </w:r>
    </w:p>
    <w:p w14:paraId="6F477C65" w14:textId="53526927" w:rsidR="00AF36EE" w:rsidRPr="00E84B1D" w:rsidRDefault="00AF36EE" w:rsidP="00E84B1D">
      <w:pPr>
        <w:spacing w:after="0"/>
        <w:ind w:firstLine="720"/>
        <w:rPr>
          <w:rFonts w:ascii="GHEA Grapalat" w:hAnsi="GHEA Grapalat"/>
          <w:sz w:val="18"/>
          <w:szCs w:val="20"/>
          <w:lang w:val="hy-AM"/>
        </w:rPr>
      </w:pPr>
      <w:r w:rsidRPr="00E84B1D">
        <w:rPr>
          <w:rFonts w:ascii="GHEA Grapalat" w:hAnsi="GHEA Grapalat"/>
          <w:sz w:val="18"/>
          <w:szCs w:val="20"/>
          <w:lang w:val="hy-AM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hy-AM"/>
        </w:rPr>
        <w:t>Հայերեն և ռուսերեն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247C1F76" w14:textId="77777777" w:rsidR="00AF36EE" w:rsidRPr="00E84B1D" w:rsidRDefault="00AF36EE" w:rsidP="00AF36EE">
      <w:pPr>
        <w:rPr>
          <w:rFonts w:ascii="GHEA Grapalat" w:hAnsi="GHEA Grapalat"/>
          <w:sz w:val="18"/>
          <w:szCs w:val="20"/>
          <w:lang w:val="hy-AM"/>
        </w:rPr>
      </w:pPr>
    </w:p>
    <w:tbl>
      <w:tblPr>
        <w:tblStyle w:val="TableGrid"/>
        <w:tblW w:w="14159" w:type="dxa"/>
        <w:tblLook w:val="04A0" w:firstRow="1" w:lastRow="0" w:firstColumn="1" w:lastColumn="0" w:noHBand="0" w:noVBand="1"/>
      </w:tblPr>
      <w:tblGrid>
        <w:gridCol w:w="534"/>
        <w:gridCol w:w="1543"/>
        <w:gridCol w:w="1397"/>
        <w:gridCol w:w="8401"/>
        <w:gridCol w:w="1035"/>
        <w:gridCol w:w="1249"/>
      </w:tblGrid>
      <w:tr w:rsidR="00E62283" w:rsidRPr="00E84B1D" w14:paraId="5E719A08" w14:textId="77777777" w:rsidTr="00E84B1D">
        <w:tc>
          <w:tcPr>
            <w:tcW w:w="534" w:type="dxa"/>
            <w:shd w:val="clear" w:color="auto" w:fill="auto"/>
            <w:vAlign w:val="center"/>
          </w:tcPr>
          <w:p w14:paraId="741C03EB" w14:textId="5CEF5F90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lastRenderedPageBreak/>
              <w:t>Н/Л</w:t>
            </w:r>
          </w:p>
        </w:tc>
        <w:tc>
          <w:tcPr>
            <w:tcW w:w="1543" w:type="dxa"/>
            <w:shd w:val="clear" w:color="auto" w:fill="auto"/>
            <w:vAlign w:val="center"/>
          </w:tcPr>
          <w:p w14:paraId="71CF4EDF" w14:textId="580556CD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E84B1D">
              <w:rPr>
                <w:rFonts w:ascii="GHEA Grapalat" w:hAnsi="GHEA Grapalat"/>
                <w:sz w:val="18"/>
                <w:szCs w:val="20"/>
                <w:lang w:val="ru-RU"/>
              </w:rPr>
              <w:t>Промежуточный код по классификатору ЕНС ТРУ (</w:t>
            </w:r>
            <w:r w:rsidRPr="00E84B1D">
              <w:rPr>
                <w:rFonts w:ascii="GHEA Grapalat" w:hAnsi="GHEA Grapalat"/>
                <w:sz w:val="18"/>
                <w:szCs w:val="20"/>
              </w:rPr>
              <w:t>CPV</w:t>
            </w:r>
            <w:r w:rsidRPr="00E84B1D">
              <w:rPr>
                <w:rFonts w:ascii="GHEA Grapalat" w:hAnsi="GHEA Grapalat"/>
                <w:sz w:val="18"/>
                <w:szCs w:val="20"/>
                <w:lang w:val="ru-RU"/>
              </w:rPr>
              <w:t>)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911AEA2" w14:textId="4F81AA4E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Наименование</w:t>
            </w:r>
            <w:proofErr w:type="spellEnd"/>
          </w:p>
        </w:tc>
        <w:tc>
          <w:tcPr>
            <w:tcW w:w="8401" w:type="dxa"/>
            <w:shd w:val="clear" w:color="auto" w:fill="auto"/>
            <w:vAlign w:val="center"/>
          </w:tcPr>
          <w:p w14:paraId="76654CCC" w14:textId="7BE3221E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Технические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характеристики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>*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2740270C" w14:textId="51F3E830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Ед.измер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</w:tcPr>
          <w:p w14:paraId="6326B16D" w14:textId="74353FEA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Количество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предмета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покупки</w:t>
            </w:r>
            <w:proofErr w:type="spellEnd"/>
          </w:p>
        </w:tc>
      </w:tr>
      <w:tr w:rsidR="00C44861" w:rsidRPr="00E84B1D" w14:paraId="1E2E3639" w14:textId="77777777" w:rsidTr="00E84B1D">
        <w:tc>
          <w:tcPr>
            <w:tcW w:w="534" w:type="dxa"/>
            <w:vAlign w:val="center"/>
          </w:tcPr>
          <w:p w14:paraId="1B22136D" w14:textId="08A14F03" w:rsidR="00C44861" w:rsidRPr="00E84B1D" w:rsidRDefault="00C44861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543" w:type="dxa"/>
            <w:vAlign w:val="center"/>
          </w:tcPr>
          <w:p w14:paraId="054FF061" w14:textId="51874FCD" w:rsidR="00C44861" w:rsidRPr="00E84B1D" w:rsidRDefault="00C44861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09132200</w:t>
            </w:r>
            <w:r w:rsidR="00AF36EE"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/2</w:t>
            </w:r>
          </w:p>
        </w:tc>
        <w:tc>
          <w:tcPr>
            <w:tcW w:w="1397" w:type="dxa"/>
            <w:vAlign w:val="center"/>
          </w:tcPr>
          <w:p w14:paraId="66C55A0E" w14:textId="1FEF454B" w:rsidR="00C44861" w:rsidRPr="00E84B1D" w:rsidRDefault="00C44861" w:rsidP="00AF36EE">
            <w:pPr>
              <w:jc w:val="center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Бензин</w:t>
            </w:r>
          </w:p>
        </w:tc>
        <w:tc>
          <w:tcPr>
            <w:tcW w:w="8401" w:type="dxa"/>
            <w:vAlign w:val="center"/>
          </w:tcPr>
          <w:p w14:paraId="264435DE" w14:textId="56D2E631" w:rsidR="00AF36EE" w:rsidRPr="00E84B1D" w:rsidRDefault="00AF36EE" w:rsidP="00E84B1D">
            <w:pPr>
              <w:jc w:val="both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Внешний вид: чистый и прозрачный, октановое число определяется методом исследования: не менее 91, моторным методом: не менее 81, давление насыщенных паров бензина: от 45 до 100 кПа, содержание свинца: не более 5 мг/дм3, объемная доля бензола: не более 1%, плотность: при температуре 15 ° C: от 720 до 775 кг/м3 , содержание серы: не более 10 мг/кг, массовая доля кислорода: не более 2,7%, объемная доля окислителей, не более: метанол-3 %, этанол-5 %, изопропиловый спирт-10%, изобутиловый спирт-10 %, триб бутиловый спирт-7 %, эфиры (С5 и более)-15 %, прочие окислители-10 %. Безопасность, маркировка в соответствии с «Техническим регламентом на моторное топливо внутреннего сгорания», утвержденным постановлением Правительства РА № 1592-н от 11 ноября 2004 года. Поставка: купонный.</w:t>
            </w:r>
          </w:p>
          <w:p w14:paraId="3C1CBA5B" w14:textId="67346DED" w:rsidR="00C44861" w:rsidRPr="00E84B1D" w:rsidRDefault="00AF36EE" w:rsidP="00E84B1D">
            <w:pPr>
              <w:jc w:val="both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Предоставить сертификат соответствия качества, если он п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рименим к конкретному продукту.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должны быть пункты технического обслуживания/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заправочные станции / следующие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в городах г.Ереван, г. 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Абовян, г. Егвард, г.Чаренцаван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Граздан, г.Севан, г. Гавар, г. Мар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туни, г. Варденис, г. Дилиджан,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г.Ванадзор, г. Степанаван, г. Алав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ерди, г. Чойемберян, г.Иджеван,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Спитак, г.Апаран, г. Аштарак, г. Армавир, к.Эчм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иадзин, г. Эчмиадзин, г. Талин,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Гюмри, г. Арташат, г. Ехегнадзор, г. Сисиан, г. Вайк, г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.Горис,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Агарак. При наличии неиспользованных купонов в установленный срок их необх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одимо заменить новыми купонами. </w:t>
            </w:r>
            <w:bookmarkStart w:id="0" w:name="_GoBack"/>
            <w:bookmarkEnd w:id="0"/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Купоны должны быть неиспользованными. на этапе заключения договора участник должен представить местоположения заправочных станций, согласно которым автомобили с предоставленными купонами смогут заправляться во всех регионах Армении, указать местоположения всех заправочных станций.</w:t>
            </w:r>
          </w:p>
        </w:tc>
        <w:tc>
          <w:tcPr>
            <w:tcW w:w="1035" w:type="dxa"/>
            <w:vAlign w:val="center"/>
          </w:tcPr>
          <w:p w14:paraId="352604C9" w14:textId="06EED513" w:rsidR="00C44861" w:rsidRPr="00E84B1D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литр</w:t>
            </w:r>
          </w:p>
        </w:tc>
        <w:tc>
          <w:tcPr>
            <w:tcW w:w="1249" w:type="dxa"/>
            <w:vAlign w:val="center"/>
          </w:tcPr>
          <w:p w14:paraId="0E9250B0" w14:textId="45D597E8" w:rsidR="00C44861" w:rsidRPr="00E84B1D" w:rsidRDefault="00AF36EE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900</w:t>
            </w:r>
          </w:p>
        </w:tc>
      </w:tr>
    </w:tbl>
    <w:p w14:paraId="53C39B8B" w14:textId="77777777" w:rsidR="00E84B1D" w:rsidRDefault="004A2E62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 w:rsidRPr="00E84B1D">
        <w:rPr>
          <w:rFonts w:ascii="GHEA Grapalat" w:hAnsi="GHEA Grapalat"/>
          <w:sz w:val="18"/>
          <w:szCs w:val="20"/>
          <w:lang w:val="ru-RU"/>
        </w:rPr>
        <w:t>*</w:t>
      </w:r>
    </w:p>
    <w:p w14:paraId="7D83CD60" w14:textId="0E043DCD" w:rsidR="00ED33C8" w:rsidRPr="00E84B1D" w:rsidRDefault="004A2E62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 w:rsidRPr="00E84B1D">
        <w:rPr>
          <w:rFonts w:ascii="GHEA Grapalat" w:hAnsi="GHEA Grapalat"/>
          <w:sz w:val="18"/>
          <w:szCs w:val="20"/>
          <w:lang w:val="ru-RU"/>
        </w:rPr>
        <w:t>В случае возможности различного (двойного) толкования текстов объявлений и/или приглашений, опубликованных на армянском и русском языках, за основу принимается армянский текст.</w:t>
      </w:r>
    </w:p>
    <w:p w14:paraId="32054AAC" w14:textId="6F4D82C7" w:rsidR="00AF36EE" w:rsidRPr="00E84B1D" w:rsidRDefault="00AF36EE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 w:rsidRPr="00E84B1D">
        <w:rPr>
          <w:rFonts w:ascii="GHEA Grapalat" w:hAnsi="GHEA Grapalat"/>
          <w:sz w:val="18"/>
          <w:szCs w:val="20"/>
          <w:lang w:val="ru-RU"/>
        </w:rPr>
        <w:t>В данном случае, если оценочная комиссия фиксирует несоответствия в полном описании товара, предложенного участником в заявке, требованиям, изложенным в приглашении, и они не исправляются участником в установленном порядке или в результате исправления возникают другие несоответствия, то указанное обстоятельство является основанием для неудовлетворительной оценки и отклонения заявки данного участника.</w:t>
      </w:r>
    </w:p>
    <w:p w14:paraId="0B9EEF5A" w14:textId="0FE18E31" w:rsidR="00AF36EE" w:rsidRPr="00E84B1D" w:rsidRDefault="00AF36EE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 w:rsidRPr="00E84B1D">
        <w:rPr>
          <w:rFonts w:ascii="GHEA Grapalat" w:hAnsi="GHEA Grapalat"/>
          <w:sz w:val="18"/>
          <w:szCs w:val="20"/>
          <w:lang w:val="ru-RU"/>
        </w:rPr>
        <w:t>Оплата за поставленный товар будет осуществляться безналичным путем в драмах РА путем перевода денежных средств на расчетный счет продавца. Перевод денежных средств осуществляется на основании протокола приема-передачи в месяцы, предусмотренные графиком платежей по договору (приложение № 3), в течение 5 рабочих дней, но не п</w:t>
      </w:r>
      <w:r w:rsidR="00E84B1D">
        <w:rPr>
          <w:rFonts w:ascii="GHEA Grapalat" w:hAnsi="GHEA Grapalat"/>
          <w:sz w:val="18"/>
          <w:szCs w:val="20"/>
          <w:lang w:val="ru-RU"/>
        </w:rPr>
        <w:t>озднее 30 декабря данного года.</w:t>
      </w:r>
      <w:r w:rsidR="00E84B1D">
        <w:rPr>
          <w:rFonts w:ascii="GHEA Grapalat" w:hAnsi="GHEA Grapalat"/>
          <w:sz w:val="18"/>
          <w:szCs w:val="20"/>
          <w:lang w:val="hy-AM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>Начало графика платежей назначено на апраль месяц.</w:t>
      </w:r>
    </w:p>
    <w:sectPr w:rsidR="00AF36EE" w:rsidRPr="00E84B1D" w:rsidSect="00DC753F">
      <w:headerReference w:type="default" r:id="rId6"/>
      <w:pgSz w:w="15840" w:h="12240" w:orient="landscape"/>
      <w:pgMar w:top="851" w:right="1134" w:bottom="85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E6BCA" w14:textId="77777777" w:rsidR="00880E78" w:rsidRDefault="00880E78" w:rsidP="00AF36EE">
      <w:pPr>
        <w:spacing w:after="0" w:line="240" w:lineRule="auto"/>
      </w:pPr>
      <w:r>
        <w:separator/>
      </w:r>
    </w:p>
  </w:endnote>
  <w:endnote w:type="continuationSeparator" w:id="0">
    <w:p w14:paraId="59B70190" w14:textId="77777777" w:rsidR="00880E78" w:rsidRDefault="00880E78" w:rsidP="00AF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D35BF" w14:textId="77777777" w:rsidR="00880E78" w:rsidRDefault="00880E78" w:rsidP="00AF36EE">
      <w:pPr>
        <w:spacing w:after="0" w:line="240" w:lineRule="auto"/>
      </w:pPr>
      <w:r>
        <w:separator/>
      </w:r>
    </w:p>
  </w:footnote>
  <w:footnote w:type="continuationSeparator" w:id="0">
    <w:p w14:paraId="6936EC55" w14:textId="77777777" w:rsidR="00880E78" w:rsidRDefault="00880E78" w:rsidP="00AF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B61E" w14:textId="1E4F4ED3" w:rsidR="00AF36EE" w:rsidRDefault="00AF36EE" w:rsidP="00AF36EE">
    <w:pPr>
      <w:pStyle w:val="Header"/>
    </w:pPr>
    <w:r>
      <w:rPr>
        <w:rFonts w:ascii="Sylfaen" w:hAnsi="Sylfaen" w:cs="Sylfaen"/>
        <w:b/>
      </w:rPr>
      <w:t>ԷԱՃԱՊՁԲ-20</w:t>
    </w:r>
    <w:r>
      <w:rPr>
        <w:rFonts w:ascii="Sylfaen" w:hAnsi="Sylfaen" w:cs="Sylfaen"/>
        <w:b/>
      </w:rPr>
      <w:t>25/1-2</w:t>
    </w:r>
    <w:r>
      <w:rPr>
        <w:rFonts w:ascii="Sylfaen" w:hAnsi="Sylfaen" w:cs="Sylfaen"/>
        <w:b/>
      </w:rPr>
      <w:t xml:space="preserve">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  <w:p w14:paraId="7290BD29" w14:textId="77777777" w:rsidR="00AF36EE" w:rsidRDefault="00AF36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C8"/>
    <w:rsid w:val="0014477B"/>
    <w:rsid w:val="00176C91"/>
    <w:rsid w:val="001A1AC4"/>
    <w:rsid w:val="00237AC8"/>
    <w:rsid w:val="00257693"/>
    <w:rsid w:val="002944DF"/>
    <w:rsid w:val="002B082E"/>
    <w:rsid w:val="002B5C55"/>
    <w:rsid w:val="002D1E39"/>
    <w:rsid w:val="003613BA"/>
    <w:rsid w:val="00384808"/>
    <w:rsid w:val="003B230B"/>
    <w:rsid w:val="00440C1D"/>
    <w:rsid w:val="004579D4"/>
    <w:rsid w:val="004A2E62"/>
    <w:rsid w:val="004A5961"/>
    <w:rsid w:val="004E7B4C"/>
    <w:rsid w:val="00502E40"/>
    <w:rsid w:val="00640BDB"/>
    <w:rsid w:val="0067570B"/>
    <w:rsid w:val="006E0BC7"/>
    <w:rsid w:val="007B2C61"/>
    <w:rsid w:val="007C3B50"/>
    <w:rsid w:val="007E61F7"/>
    <w:rsid w:val="00871075"/>
    <w:rsid w:val="00880E78"/>
    <w:rsid w:val="008A0A16"/>
    <w:rsid w:val="008B367B"/>
    <w:rsid w:val="00952648"/>
    <w:rsid w:val="009B4AEA"/>
    <w:rsid w:val="009D439E"/>
    <w:rsid w:val="00A16FC8"/>
    <w:rsid w:val="00A300D8"/>
    <w:rsid w:val="00A623EA"/>
    <w:rsid w:val="00AF36EE"/>
    <w:rsid w:val="00AF7829"/>
    <w:rsid w:val="00B015C9"/>
    <w:rsid w:val="00B3135F"/>
    <w:rsid w:val="00BD7475"/>
    <w:rsid w:val="00C43A02"/>
    <w:rsid w:val="00C44861"/>
    <w:rsid w:val="00CD7CA3"/>
    <w:rsid w:val="00CE1E32"/>
    <w:rsid w:val="00D428A8"/>
    <w:rsid w:val="00D50429"/>
    <w:rsid w:val="00DB5D8D"/>
    <w:rsid w:val="00DC753F"/>
    <w:rsid w:val="00E1280B"/>
    <w:rsid w:val="00E2234A"/>
    <w:rsid w:val="00E30E91"/>
    <w:rsid w:val="00E5311C"/>
    <w:rsid w:val="00E56E68"/>
    <w:rsid w:val="00E62283"/>
    <w:rsid w:val="00E7742C"/>
    <w:rsid w:val="00E84B1D"/>
    <w:rsid w:val="00ED33C8"/>
    <w:rsid w:val="00EF12D2"/>
    <w:rsid w:val="00F006A8"/>
    <w:rsid w:val="00F3517F"/>
    <w:rsid w:val="00F41B17"/>
    <w:rsid w:val="00FC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E68"/>
    <w:pPr>
      <w:ind w:left="720"/>
      <w:contextualSpacing/>
    </w:pPr>
  </w:style>
  <w:style w:type="character" w:customStyle="1" w:styleId="ezkurwreuab5ozgtqnkl">
    <w:name w:val="ezkurwreuab5ozgtqnkl"/>
    <w:rsid w:val="00C44861"/>
  </w:style>
  <w:style w:type="paragraph" w:styleId="Header">
    <w:name w:val="header"/>
    <w:basedOn w:val="Normal"/>
    <w:link w:val="HeaderChar"/>
    <w:unhideWhenUsed/>
    <w:rsid w:val="00AF36E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F36EE"/>
  </w:style>
  <w:style w:type="paragraph" w:styleId="Footer">
    <w:name w:val="footer"/>
    <w:basedOn w:val="Normal"/>
    <w:link w:val="FooterChar"/>
    <w:uiPriority w:val="99"/>
    <w:unhideWhenUsed/>
    <w:rsid w:val="00AF36E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2023-09-29T05:35:00Z</dcterms:created>
  <dcterms:modified xsi:type="dcterms:W3CDTF">2025-03-25T06:10:00Z</dcterms:modified>
</cp:coreProperties>
</file>