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ԶՄՄԱԲԿ-ԷԱՃԱՊՁԲ-44/25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медицинского оборудования и мебели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ԶՄՄԱԲԿ-ԷԱՃԱՊՁԲ-44/25</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медицинского оборудования и мебели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медицинского оборудования и мебели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ԶՄՄԱԲԿ-ԷԱՃԱՊՁԲ-44/25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медицинского оборудования и мебели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дезинфекции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тапчаны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14:45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ԶՄՄԱԲԿ-ԷԱՃԱՊՁԲ-44/25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"ԶՄՄԱԲԿ-ԷԱՃԱՊՁԲ-44/25"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"ԶՄՄԱԲԿ-ԷԱՃԱՊՁԲ-44/25"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ԶՄՄԱԲԿ-ԷԱՃԱՊՁԲ-44/25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сушильно-дезинфекционный, рабочая поверхность 450х350х450мм, температурный диапазон +10~+250С0, колебания температуры ±1 С0, источник питания 220В, 50Гц, рабочая мощность аппарата 1200Вт, объем не менее 50л.
Устройство должно иметь все необходимые аксессуары для полноценной работы. Устройство должно быть новым, неиспользованным, в закрытой заводской упаковке, с руководством пользователя на армянском или русском языке.
Поставщик обязан обеспечить безопасную транспортировку и монтаж оборудования.
Приведение в рабочий режим, пуск должен производиться на территории медицинского центра в присутствии представителя заказчика.
Монтаж, обучение и техническое обслуживание в течение гарантийного срока сертифицированным специалистом. Гарантия не менее 12 месяцев.
Сертификаты качества (наличие).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Диализное кресло электрическое, предназначенное для проведения процедур диализа (стационарное и мобильное). Устройство должно обеспечивать максимальный комфорт пациента, точное позиционирование и надежный контроль во время процедуры.
Габариты: д/л 1750х580мм, ширина сиденья 580мм, высота 530мм, спинка 770х580мм, размер подножки 410х540мм, подлокотник 460х160мм, высота подлокотника регулируется: 0-50мм, толщина матраса 60мм. допуск: ±10 мм.
Устройство должно иметь электрическое управление с помощью пульта дистанционного управления, регулировка спинки: 0°-70° (±5°), регулировка подставки для ног: 20°-90°, вращение подлокотника: 0°-270°, режим CPR.
Обязательно наличие стола 380х280 мм (±10) с регулировкой по высоте, поворотом на 360°, АБС-пластиком с нескользящим краем, пазами для крепления чашек и мобильного телефона, розеткой USB/5В. Основание кресла необходимо покрыть пылезащитным слоем. Устройство должно иметь пульт дистанционного управления, кабель питания, 4 колеса: 
3 дюйма, противоударный, бесшумный. Грузоподъемность не менее 220 кг, источник питания 100-240 В, 50/60 Гц. Противоударное покрытие: многослойное эпоксидное покрытие с антибактериальной защитой, толщина покрытия 0,12 мм, ударопрочность 50 кг,  роботизированная сварка под шаровой шарнир на 360°, линейный двигатель по стандартам UL, ROHS, EN. до 50дБ, рабочий ресурс не менее 20 000 движений. Устройство должно иметь все необходимые аксессуары для полноценной работы. Устройство должно быть новым, неиспользованным, в закрытой заводской упаковке, с руководством пользователя на армянском или русском языке. Поставщик обязан обеспечить безопасную транспортировку и монтаж оборудования. Приведение в рабочий режим, пуск должен производиться на территории медицинского центра в присутствии представителя заказчика.
Монтаж, обучение и техническое обслуживание в течение гарантийного срока сертифицированным специалистом. Гарантия не менее 12 месяцев.
Сертификаты качества (наличие). ISO13485, FDA, 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тапчаны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Тапчан для осмотра пациента. Кушетка должна состоять из 2-х секций (спинка).
Регулировка спинки с помощью механической пряжки из хромированной стали, жесткий верх с обеих сторон, матрас из огнеупорного ПВХ и губки. Толщина матраса не менее 70 мм, обои кожаные, чехол моющийся.Кушетка имеет усиленный хромированный каркас с креплением продольных стержней жесткости, защиту пола резиновыми ручками.
Габариты: длина: 1850-1900мм, ширина: 570-600мм, высота: 680-800мм, (отклонение не более 3%) Спинка регулируется в диапазоне не менее 0-65°.Должна быть вешалка для рулонов бумаги. Товар должен быть новым, неиспользованным, в запечатанной заводской упаковке. Поставщик обязан обеспечить безопасную транспортировку и монтаж изделия. Гарантия не менее 12 месяцев.
Сертификаты качества (наличие). ISO13485 или эквивалент.
Цветовое сочетание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из эластичной губки высокой плотности, слой кокоса, покрытый только водонепроницаемой тканью, поверхность гладкая, без пахлавных швов, размеры д/ш 2100х950мм±3%, толщина не менее 100мм. Товар должен быть новым, неиспользованным. Поставщик обязан обеспечить безопасную транспортировку и монтаж изделия. Цветовое сочетание должно быть согласовано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тапчаны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