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Փողոցային լուսավորության համակարգի սպասարկման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Փողոցային լուսավորության համակարգի սպասարկման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Փողոցային լուսավորության համակարգի սպասարկման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Փողոցային լուսավորության համակարգի սպասարկման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10Վտ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30Վ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СИП 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մետաղյա օղակ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լուսատուի միացման սեղմակ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պլաստմասե սեպ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ժապավենի ամրացման 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միացման սեղմակ 1.5-10/16-95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10Վտ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10Վ, LED, 1100 LM±5% չափերը 12*12սմ, Ip66, լույսի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20Վ, LED, 2200 LM±5% չափերը ոչ պակաս 18*18սմ, Ip66, լույսի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20Վ, LED, 2200 LM±5% չափերը ոչ պակաս 18*18սմ, Ip66, լույսի գույնը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30Վ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30Վ, LED, 3300 LM±5% չափերը ոչ պակաս 22*22սմ, Ip66, լույսի գույնը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E14-E27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СИП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Ջղերի քանակը ՝ 2, Հիմնական նյութը  ալյումինե բազմաշերտ միջուկներ, Մեկուսացում ՝ լուսակայունացված ջերմապլաստիկ պոլիէթիլեն, Շահագործման ջերմաստիճանը ' -60 °C-ից +50 °C, SIP 2x16 քաշը, կգ / կմ: 141. Արտաքին տրամագիծը, մմ ՝ 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4*16 մմ2 նշագրված տիպը, ԱՎՎԳ 4*16 մմ2,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2*1,5մմ, նշագրված տիպը, ԱՎՎԳ 2*1,5մմ,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ԱՊՎ 2*1,5մմ, նշագրված տիպը, ԱՊՎ 2*1,5մմ,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մետաղյա օղակ CA-2000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մետաղյա բարակ օղակներ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լուսատուի միացման սեղմակ PA-1000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СИП-լուսատու միացման մեծ դետալ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պլաստմասե սեպ STC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պլաստմասե սեպեր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ժապավենի ամրացման 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ժապավենի ամրացման 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միացման սեղմակ 1.5-10/16-95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միացման սեղմակ 1.5-10/16-95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10Վտ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30Վ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СИП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մետաղյա օղակ CA-2000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լուսատուի միացման սեղմակ PA-1000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պլաստմասե սեպ STC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ժապավենի ամրացման 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միացման սեղմակ 1.5-10/16-95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