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ՀԱՊՀ-ԳՄ-ԷԱՃԱՊՁԲ-25/1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И ИЗДЕЛИЯ ДЛЯ НУЖД ГЮМРУСКОГО ФИЛИАЛА ФОНДА «НПУА»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ՀԱՊՀ-ԳՄ-ԷԱՃԱՊՁԲ-25/1</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И ИЗДЕЛИЯ ДЛЯ НУЖД ГЮМРУСКОГО ФИЛИАЛА ФОНДА «НПУА»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И ИЗДЕЛИЯ ДЛЯ НУЖД ГЮМРУСКОГО ФИЛИАЛА ФОНДА «НПУА»</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И ИЗДЕЛИЯ ДЛЯ НУЖД ГЮМРУСКОГО ФИЛИАЛА ФОНДА «НПУА»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թերթեր (շինարարության)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ՀԱՊՀ-ԳՄ-ԷԱՃԱՊՁԲ-25/1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ՀԱՊՀ-ԳՄ-ԷԱՃԱՊՁԲ-25/1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выключатель 200А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 А однофазный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двухпозиционный переключатель внутренний, с рамкой. Максимальная токовая мощность: 1000 Вт, Напряжение: 220–240 В, 50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однопозиционный, с рамкой. Максимальная токовая мощность: 1000 Вт, Напряжение: 220–240 В, 50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Способ установки - на поверхность Тип лампы - светодиодная, несменная Световой поток - 800-1000 Люмен Мощность 10 Вт Цветовая температура 6400-6500 К кронштейн Блок управления - встроенный, Коэффициент мощности »= 0,9 Возможность регулировки - 1 ось с возможностью переоборудования, Материал осветителя - прозрачное стекло, Средний срок службы минимум - 20000 часов, Минимальная габаритная яркость - 37000 Кд/м2 Светоотражатель - белый Среда применения - наружная, открытая, Класс защиты - IP65 Угол светового потока - 120-140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Способ установки - на поверхность Тип лампы - светодиодная, несменная Световой поток - 2400-2500 Люмен Мощность 30 Вт Цветовая температура 6400-6500 Кельвин Источник питания - переменный ток 200-240 В Иран Материал и цвет - алюминий, цвет черный, Номинальное напряжение - 230 В, Форма и размеры - прямоугольные, ширина 106-110 мм, длина 127-135 мм, с монтажным кронштейномБлок управления – встроенный Коэффициент мощности »= 0,9 Регулируемость – 1-осевое преобразование
Материал светильника - прозрачное стекло. Минимальный срок службы - 20000 часов. Минимальная габаритная яркость - 43565 Кд/м2. Светоотражатель - белый. Среда применения - наружная, открытая. Класс защиты - IP65. Угол светового потока - 120-140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светодиодный модуль, иранский материал. Металл/Органическое стекло
Тип. Энергосберегающая светодиодная лампа
Мощность: 24 Вт (эквивалент 200 Вт)
Цветовой спектр. 6400-6500к (белый)
Форма установки. Внешний
Диаметр лампы. 200-220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Кольцевой светильник на подставке, высота стойки регулируется до 1,5-2,5м, диаметр лампы в пределах 40-45 см, есть крепления для телефона, 64Вт, 3000-6500К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для наружной установки 2 места, с рамкой 16А 250В, внутренняя панель керамическая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для внутренней установки, с рамкой 16А 250В, внутренняя панель керамическая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Кисть/плоская/ для малярных работ с деревянной ручкой, натуральная щетина, длина малярной части не менее 7 см, ширина не менее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Кисть/плоская/ для малярных работ с деревянной ручкой, натуральная щетина, длина малярной части не менее 7 см, ширина не менее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Кисть/плоская/ для малярных работ с деревянной ручкой, натуральный ворс, длина малярной части не менее 7 см, ширина не менее 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белая латексная, расход 1 кг - 7-8 квадратных метров, предназначена для окраски внутренних строительных поверхностей (бетон, штукатурка, штукатурка, дерево, обои) и других покрытий:
Расфасован в полимерные контейнеры по 6,5-20 кг. Внешний вид пленки после высыхания — пленка с гладкой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высокой укрывистости для декоративной окраски внутренних и наружных поверхностей, расход 1 литр не менее 6,25 квадратных метров, а также в водно-дисперсионных красках. Выпускается в емкостях емкостью 0,75–1000 мл, обладает высокой светостойкостью. Цвета желтый, синий, оттенки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возможность работы с поршнем, объем не менее 700 мл, для герметизации дверных и оконных рам, обеспечивает звуко- и теплоизоляцию, срок годности товара должен быть не менее 18 месяцев, и не менее 12 месяцев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для жилых и коммерческих помещений класса 33-34. Доска
Толщина 8-12 мм. 
согласование цвета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гипсокартона толщиной 9-10мм, минимальные размеры кромки 1,2*2,4м, предназначены для сборки стен и потолка,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 для болгарки / для резки металла 230*3*22,23, допустимое отклонение размеров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Плиты ДСП из натурального дерева, изготовленные методом горячего прессования древесных частиц с клеем, ламинированные с двух сторон, толщиной не менее 18 мм, минимальные размеры: 366см х 183см.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стальная трубка размером 20*40*2,6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թերթեր (շինարարության)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Паралон предназначен для монтажа пола из ламината, толщина не менее 3 мм, ширина 90-100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из гипса, уголок из металлической сетки, уголок из гипсовой штукатурки длиной 2-2,6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с деревянным или пластиковым хвостиком, из искусственного волоса, длина слоя от 8 до 25 мм, из однородного материала, слой одинаковой высоты, длина зажима: не менее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сердечник дверного замка длиной 5-7 см, с ключами.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подписВ течение 30 календарных дней с момента подписания договораания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թերթեր (շինարարության)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