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tatev.karapetyan@ombuds.am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ՄԻՊԱ-ԷԱՃԱՊՁԲ-25/7-1</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tatev.karapetyan@ombuds.am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2000 Вт, Тип уборки: Сухая, Длина шнура: 6 м, Объем пылесборника: 2,5 л, Тип пылесборника: Мешок, Вес: 4,3 кг, Мощность тяги: 460 Вт,наличие фильтра, Размеры (ШхДхВ) - 24х28х39 см; Марка SAMSUNG или аналогичный. Пылесос должен быть новым.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2600 Вт, Автоматическое отключение, Пар: 50 г/мин, Паровая ударность 180 гр., С самоочисткой и противокапельной системой, Емкость воды 300 мл., Тип управления: механическое, марка BRAUN или аналогичный. Утюг должен быть новым.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Пушкины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Пушкины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