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ԷԼԵԿՏՐՈՆԱՅԻՆ ԱՃՈՒՐԴՈՎ «ՍԳԼ-ԷԱՃԱՊՁԲ-25/31» ԾԱԾԿԱԳՐՈՎ ԳՐԵՆԱԿԱՆ և ՏՆՏԵՍԱԿԱՆ ԱՊՐԱՆՔՆԵՐԻ ՁԵՌՔԲԵՐՄԱՆ ՆՊԱՏԱԿՈՎ ՀԱՅՏԱՐԱՐՎԱԾ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ԷԼԵԿՏՐՈՆԱՅԻՆ ԱՃՈՒՐԴՈՎ «ՍԳԼ-ԷԱՃԱՊՁԲ-25/31» ԾԱԾԿԱԳՐՈՎ ԳՐԵՆԱԿԱՆ և ՏՆՏԵՍԱԿԱՆ ԱՊՐԱՆՔՆԵՐԻ ՁԵՌՔԲԵՐՄԱՆ ՆՊԱՏԱԿՈՎ ՀԱՅՏԱՐԱՐՎԱԾ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ԷԼԵԿՏՐՈՆԱՅԻՆ ԱՃՈՒՐԴՈՎ «ՍԳԼ-ԷԱՃԱՊՁԲ-25/31» ԾԱԾԿԱԳՐՈՎ ԳՐԵՆԱԿԱՆ և ՏՆՏԵՍԱԿԱՆ ԱՊՐԱՆՔՆԵՐԻ ՁԵՌՔԲԵՐՄԱՆ ՆՊԱՏԱԿՈՎ ՀԱՅՏԱՐԱՐՎԱԾ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ԷԼԵԿՏՐՈՆԱՅԻՆ ԱՃՈՒՐԴՈՎ «ՍԳԼ-ԷԱՃԱՊՁԲ-25/31» ԾԱԾԿԱԳՐՈՎ ԳՐԵՆԱԿԱՆ և ՏՆՏԵՍԱԿԱՆ ԱՊՐԱՆՔՆԵՐԻ ՁԵՌՔԲԵՐՄԱՆ ՆՊԱՏԱԿՈՎ ՀԱՅՏԱՐԱՐՎԱԾ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160լ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Ծալված թղթյա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փափկեցնող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կոնքամանի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սիֆոն 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փայտյա պոչով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խոզանակ պլաստմասե պոչով և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փայտե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Մոպ հատակի երկաթյա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քամիչ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