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ՀՀԱՄՄՀ-ԷԱՃԱՊՁԲ-25/31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ՀՀԱՄՄՀ-ԷԱՃԱՊՁԲ-25/31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ՀՀԱՄՄՀ-ԷԱՃԱՊՁԲ-25/31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ՀՀԱՄՄՀ-ԷԱՃԱՊՁԲ-25/31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ՀՀԱՄՄՀ-ԷԱՃԱՊՁԲ-25/31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Углеродистый остаток /коксование/ в 10% осадке не более 0,3%. Вязкость при 400С от 2,0 до 4,5 мм2/с. Температура помутнения не выше 5 0С. Поставка по купону (применимо только при покупке в литрах). Безопасность, маркировка и упаковка в соответствии с Постановлением Правительства Республики Армения 2004 года «Технический регламент топлив для двигателей внутреннего сгорания», утвержденным Постановлением N 1592-Н от 11 ноября 2019 года. Поставка осуществляется по талонам. Автозаправочные станции в обязательном порядке должны располагаться на расстоянии не более 5 км от муниципалитета Мецамор.
Указанные количества являются максимальными, и Покупатель может запросить часть указанных количеств.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после вступления в силу Договора (Соглашения), заключенного между сторонами, при условии предоставления финансовых ресурсов, по требованию Заказчика, каждый раз в течение 20 календарных дней после получения заказа (за исключением случая, когда выбранный участник соглашается исполнить договор в более короткий срок), до 30.12.2025. включительно. При этом договор расторгается за сумму, не уплаченную до 30.12.2025 г., без возникновения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