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DA7CBC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«</w:t>
      </w:r>
      <w:r w:rsidR="00B059DF">
        <w:rPr>
          <w:rFonts w:ascii="GHEA Grapalat" w:hAnsi="GHEA Grapalat" w:cs="Sylfaen"/>
          <w:b/>
          <w:sz w:val="20"/>
          <w:lang w:val="hy-AM" w:eastAsia="en-US"/>
        </w:rPr>
        <w:t>ԵՔ-ԷԱՃԱՊՁԲ-</w:t>
      </w:r>
      <w:r w:rsidR="003A3B55">
        <w:rPr>
          <w:rFonts w:ascii="GHEA Grapalat" w:hAnsi="GHEA Grapalat" w:cs="Sylfaen"/>
          <w:b/>
          <w:sz w:val="20"/>
          <w:lang w:val="hy-AM" w:eastAsia="en-US"/>
        </w:rPr>
        <w:t>25/119</w:t>
      </w:r>
      <w:r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</w:t>
      </w:r>
      <w:r w:rsidR="003A3B55">
        <w:rPr>
          <w:rFonts w:ascii="GHEA Grapalat" w:hAnsi="GHEA Grapalat" w:cs="Sylfaen"/>
          <w:b/>
          <w:sz w:val="20"/>
          <w:lang w:val="hy-AM"/>
        </w:rPr>
        <w:t>25/119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  <w:bookmarkStart w:id="0" w:name="_GoBack"/>
      <w:bookmarkEnd w:id="0"/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7B15CC" w:rsidRPr="007B15CC">
        <w:rPr>
          <w:rFonts w:ascii="GHEA Grapalat" w:hAnsi="GHEA Grapalat"/>
          <w:b/>
          <w:color w:val="000000"/>
          <w:sz w:val="20"/>
          <w:szCs w:val="20"/>
          <w:lang w:val="hy-AM"/>
        </w:rPr>
        <w:t>90</w:t>
      </w:r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/</w:t>
      </w:r>
      <w:r w:rsidR="007B15CC">
        <w:rPr>
          <w:rFonts w:ascii="GHEA Grapalat" w:hAnsi="GHEA Grapalat"/>
          <w:b/>
          <w:color w:val="000000"/>
          <w:sz w:val="20"/>
          <w:szCs w:val="20"/>
          <w:lang w:val="hy-AM"/>
        </w:rPr>
        <w:t>իննսուն</w:t>
      </w:r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>/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A15CC"/>
    <w:rsid w:val="001E0822"/>
    <w:rsid w:val="00253692"/>
    <w:rsid w:val="002939F3"/>
    <w:rsid w:val="003A3B55"/>
    <w:rsid w:val="004A30F4"/>
    <w:rsid w:val="007B15CC"/>
    <w:rsid w:val="00845E65"/>
    <w:rsid w:val="009D0786"/>
    <w:rsid w:val="00A9531D"/>
    <w:rsid w:val="00B059DF"/>
    <w:rsid w:val="00C307A7"/>
    <w:rsid w:val="00D11D57"/>
    <w:rsid w:val="00D34415"/>
    <w:rsid w:val="00D66EB5"/>
    <w:rsid w:val="00DA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Sofa Khachatryan</cp:lastModifiedBy>
  <cp:revision>17</cp:revision>
  <dcterms:created xsi:type="dcterms:W3CDTF">2023-11-16T11:33:00Z</dcterms:created>
  <dcterms:modified xsi:type="dcterms:W3CDTF">2025-03-31T10:22:00Z</dcterms:modified>
</cp:coreProperties>
</file>