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Իրինա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irina.eghiazaryan@yerevan.am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irina.eghiazaryan@yerevan.am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կարիքների համար շինանյութի ձեռքբերում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ԵՔ-ԷԱՃԱՊՁԲ-25/127</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ԵՔ-ԷԱՃԱՊՁԲ-25/127</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«ԵՔ-ԷԱՃԱՊՁԲ-25/127»*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ԵՔ-ԷԱՃԱՊՁԲ-25/127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«ԵՔ-ԷԱՃԱՊՁԲ-25/127»*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Երևանի քաղաքապետարան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ԵՔ-ԷԱՃԱՊՁԲ-25/127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ԵՔ-ԷԱՃԱՊՁԲ-25/127</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__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Սույն պայմանագրով Պատվիրատուի իրավունքներն ու պարտականությունները
իրականացնում է Երևան քաղաքի Շենգավիթ վարչական շրջանի ղեկավարի
աշխատակազմը:</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կարիքների համար շինանյութի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ԿՊ 21 /լայնությունը 1050 մմ, մոնտաժային լայնությունը 1000 մմ, 0.55մմ հաստությամբ/: Ցինկապատ ծալքաթիթեղը պետք է համապատասխանի ՀՀ-ում գործող նորմատիվային պահանջներին, ինչպես նաև ապրանքների որակավորման և պարամետրային ցուցանիշներին: Ցինկապատ ծալքաթիթեղները պետք է տեղափոխվեն և բեռնաթափվեն մատակարարի միջոցով Շենգավիթ վարչական շրջանի ղեկավարի կողմից տրամադրված պահեստային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կարիքների համար շինանյութի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