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tatev.karapetyan@ombuds.am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ՄԻՊԱ-ԷԱՃԱՊՁԲ-25/7-1</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tatev.karapetyan@ombuds.am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1800-2000 Вт, тип очистки: сухая, длина шнура: 5-6 м, объем пылесборника: 2-3 л, тип пылесборника: мешок, вес: 4-4,5 кг, мощность тягового усилия: 460-500 Вт, при наличии фильтра, размеры (ВхШхГ):-24x28x39 см, возможное допустимое отклонение в размерах продукта ±3%. пылесос должен быть новым.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2400-2600 Вт, автоматическое отключение, испаритель: 40-50 г / мин, паровой ход 150-180 гр., с системой самоочистки и защиты от капель, объем емкости для воды 250-300 мл., тип управления: механический. утюг должен быть новым.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Пушкины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Пушкины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