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տնտեսական ապրանքների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տնտեսական ապրանքների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տնտեսական ապրանքների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տնտեսական ապրանքների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8․սալիկի սոսինձ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Պոլիէթիլենային, Նախատեսված աղբի համար, տարողությունը 60լ, տուփով կամ փաթեթավորված 30-40 հատ,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120 հատանոց տուփերով կամ փաթեթներով, փափուկ թղթից, ոչ սուր հոտով, քաշովի,հերմետիկ  բացվող և  փակվող,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--Գլանափաթեթ,  երկշերտ կամ եռաշերտ, լայնությունը 25*25 սմ, երկարությունը՝ 100 մ, հումքը 100%  ցելյուլոզայից: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դրսի անիվներով  60լ- 35*35 բարձ 70սմ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դրսի անիվներով 90լ -50սմ*50 բարձ 1մ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ներկ 10կգ տարայով սերտիֆիկատով- Հին և նոր մետաղյա թիթեղների, ցինկապատ պողպատների, մետաղական սալիկների, պրոֆլիստերի, երկաթի, անդուլինի և նախաներկված սև մետաղի համար նախատեսված ակրիլային հիմքով պաշտպանիչ ներկ է: Այն մակերեսի վրա ստեղծում է հիդրոիզոլացիոն, հակաբորբոսային հարթ շերտ, որը թույլ չի տալիս մակերեսի մեջ ջուր ներծծվի և բորբոսներ առաջանա: Էկոլոգիապես մաքուր է:ներկման աշխատանքից հետո առնվազն 2 տարի պահպանմամբ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30կգ թղթյա  պարկով, գործարանային երաշխիք,  սկսած մատակարարման  օրվանից մինչև 1տարի- Նշանակությունը. գիպսային ծեփամածիկը նախատեսված է ներքին հարդարման աշխատանքների՝ շինության ներսում բետոնե, աղյուսե պատերի և առաստաղների ծեփման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թղթյա 25կգանոց պարկով C1 դասի-- Նախատեսված է շինարարական ներքին և արտաքին ծածկույթների (գիպս, գիպսակարտոն և ամուր, չդեֆորմացվող մակերեսներ) վրա սալիկների (ծակոտկեն կերամիկական սալիկներ, բնական և արհեստական քարեր) փակցման աշխատանքների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