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2025.04.29.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Проверка и, при необходимости, настройка операционной системы, предустановленной на компьютерах на объекте.
• Установка комплекта для крепления проектора на стену/потолок и проекционного экрана для классных комнат, а также правильная настройка проектора.
• Распаковка, проверка на наличие внешних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Проверка и, при необходимости, настройка операционной системы, предустановленной на компьютерах на объекте.
• Установка комплекта для крепления проектора на стену/потолок и проекционного экрана для классных комнат, а также правильная настройка проектора.
• Распаковка, проверка на наличие внешних повреждений.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