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2025.04.11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ԳՎԲԿ-ԷԱՃԱՊՁԲ-25/16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с талонами, Цетановое число не менее 51, Цетановый индекс не менее 46, плотность при 15 0 С от 820 до
845 кг/м3, содержание серы не более 350 мг/кг, температура воспламенения не ниже 55 0С, коксуемость в 10% осадке не более 0,3%, вязкость
при 400С: от 2,0 до 4,5 мм2/с, температура помутнения не выше 0 0С. Безопасность, маркировка и упаковка - в соответствии с Постановлением Правительства Республики Армения 2004 года. «Правила применения топлив для двигателей внутреннего сгорания», утвержденные постановлением от 11 ноября № 1592-Н
Технический регламент» Поставка по талонам. Талоны должны быть действительны не менее 12 месяцев со дня поставки и подлежат обслуживанию в г. Ереване (не менее одной АЗС в каждом административном районе) и во всех областях Республики Армения.
Обязательное условие: наличие АЗС в городе Гавар, Гегаркуникской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постановлением Правительства Республики Армения 2004 г. Символ «Технического регламента топлив для двигателей внутреннего сгорания» утвержденный постановлением от 11 ноября 2011 г. № 1592-Н – «Боимся огня».
Поставка по талонам: Талоны должны быть действительны не менее 12 месяцев с даты поставки и должны обслуживаться в Ереване (не менее одной АЗС в каждом административном районе) и во всех регионах Республики Армения.
Обязательное условие: наличие АЗС в городе Гавар, Гегаркуникской области.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дней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дней по заказу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