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ՔԿԾ-ԷԱՃԱՊՁԲ-25/40</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должна быть изготовлена ​​из трикотажной ткани, зеленого цвета, из полухлопчатобумажных ниток, оттенок согласовывается с Покупателем. Плотность ткани: 280 г/м2 (±5%), класс рабочей машины: 12 или 14, вид ткани: прямой «джерси», манжетная часть: 1х1. Рубашка должна быть с длинными рукавами и круглым вырезом. Плечевые ремни должны быть прошиты двойной строчкой из зеленой синтетической ткани и иметь клеящиеся застежки. На левой верхней части переда вышиваются буквы «ККП», как на форменной одежде заместителей начальников уголовно-исполнительной службы, на верхней части правого кармана — инициалы имени, отчества и фамилии последнего. Рукава, пояс и горловина рубашки должны быть выполнены из эластичной ткани. Общие положения технического задания и изображение комплекта представлены в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Министерства юстиции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