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ՍՄԿԲԿ-ԷԱՃԱՊՁԲ-25/26</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для дробления камня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«ԿԱՊԱՆԻ ԲԺՇԿԱԿԱՆ ԿԵՆՏՐՈՆ»ՓԲԸ  ԿԱՐԻՔՆԵՐԻ ՀԱՄԱՐ</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5</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__</w:t>
      </w:r>
      <w:r w:rsidR="0017004E" w:rsidRPr="00E4651F">
        <w:rPr>
          <w:rFonts w:cstheme="minorHAnsi"/>
          <w:lang w:val="hy-AM"/>
        </w:rPr>
        <w:t>(</w:t>
      </w:r>
      <w:r w:rsidR="00C94657" w:rsidRPr="00C94657">
        <w:rPr>
          <w:rFonts w:cstheme="minorHAnsi"/>
          <w:lang w:val="hy-AM"/>
        </w:rPr>
        <w:t>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8.6 Եթե պայմանագիրն  իրականացվում է գործակալության պայմանագիր կնքելու միջոցով.</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для дробления камня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для лазерной резки — должно быть совместимо с лазерным режущим станком DORNIER H35 SOLVO, должно быть одобрено производителем, иметь толщину 400 микрон, длину не менее 3 метров и быть рассчитано не менее чем на 10 использований. Новый, неиспользованный, в заводской упаковке. 1/2 от полного срока годности на момент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/если участник не согласен на более раннюю поставку/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для дробления камня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