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ոչ պակաս 91,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
նը` 10 մգ/կգ-իցոչ ավելի,
թթվածնի զանգվածային
մասը` 2,7 %-ից ոչ ավելի,
օքսիդիչների ծավալային
մասը, ոչ ավելի` մեթանոլ-3%,
էթանոլ-5 %, իզոպրոպիլ
սպիրտ-10%, իզոբուտիլ սպիրտ-10 %, եռաբութիլ
սպիրտ-7 %, եթերներ (C5 և
ավելի)-15 %, այլ օքսիդիչներ-10 %
•
անվտանգությունը՝ ըստ ՀՀ
կառավարության 2004թ.
նոյեմբերի 11-ի N 1592-Ն
որոշմամբ հաստատված «Ներքին այրման շարժիչային
վառելիքների տեխնիկական
կանոնակարգի»: Ապրանքի որակի սերտիֆիկատի առկայությունը պարտադիր է.
Մատակարարումը կտրոնային: Կտրոններն ուժի
մեջ պետք է լինեն մատակարարման օրվան
հաջորդող առնվազն 12 ամսվա ընթացքում և
դրանք պետք է սպասարկվեն ք. Երևանում
(յուրաքանչյուր վարչական
Շրջանում առնվազն մեկ
բենզալցակայան), ՀՀ բոլոր
մարզերում , յուրաքանչյուրում առնվազն 2 բենզալցակայան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