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ՀԱՊՀ-ԷԱԾՁԲ-25/4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ԿԱՐԻՔՆԵՐԻ ՀԱՄԱՐ ՀԱՊՀ-ԷԱԾՁԲ-25/4 ԾԱԾԿԱԳՐՈՎ ԹՎԱՅԻՆ ՏՊԱԳՐՈՒԹՅԱՆ ԾԱՌԱՅՈՒԹՅԱՆ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Ռոզա Մեհրաբյան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r.mehrabyan@polytechnic.am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ՀԱՊՀ-ԷԱԾՁԲ-25/4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ԿԱՐԻՔՆԵՐԻ ՀԱՄԱՐ ՀԱՊՀ-ԷԱԾՁԲ-25/4 ԾԱԾԿԱԳՐՈՎ ԹՎԱՅԻՆ ՏՊԱԳՐՈՒԹՅԱՆ ԾԱՌԱՅՈՒԹՅԱՆ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ԿԱՐԻՔՆԵՐԻ ՀԱՄԱՐ ՀԱՊՀ-ԷԱԾՁԲ-25/4 ԾԱԾԿԱԳՐՈՎ ԹՎԱՅԻՆ ՏՊԱԳՐՈՒԹՅԱՆ ԾԱՌԱՅՈՒԹՅԱՆ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ՀԱՊՀ-ԷԱԾՁԲ-25/4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r.mehrabyan@polytechnic.am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ԿԱՐԻՔՆԵՐԻ ՀԱՄԱՐ ՀԱՊՀ-ԷԱԾՁԲ-25/4 ԾԱԾԿԱԳՐՈՎ ԹՎԱՅԻՆ ՏՊԱԳՐՈՒԹՅԱՆ ԾԱՌԱՅՈՒԹՅԱՆ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2025.04.29.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ՀԱՊՀ-ԷԱԾՁԲ-25/4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ՀԱՊՀ-ԷԱԾՁԲ-25/4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«ՀԱՊՀ-ԷԱԾՁԲ-25/4»*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«ՀԱՊՀ-ԷԱԾՁԲ-25/4»*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ԹՎԱՅԻՆ 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պատվիրատուի պատվերի առկայության դեպքում՝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պատվիրատուի պատվերի առկայության դեպքում՝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պատվիրատուի պատվերի առկայության դեպքում՝  պայմանագիրը կնքելուց հետո 21 օրացույցային օրվա, հետագայում ըստ  պատվերների  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պատվիրատուի պատվերի առկայության դեպքում՝  պայմանագիրը կնքելուց հետո 21 օրացույցային օրվա, հետագայում ըստ  պատվերների  15 օրացույցային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