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4C7B" w:rsidRPr="009266C5" w:rsidRDefault="00C14C7B" w:rsidP="00230F14">
      <w:pPr>
        <w:ind w:left="-993"/>
        <w:jc w:val="center"/>
        <w:rPr>
          <w:rFonts w:ascii="GHEA Grapalat" w:hAnsi="GHEA Grapalat" w:cs="Sylfaen"/>
          <w:b/>
          <w:sz w:val="24"/>
          <w:szCs w:val="24"/>
          <w:lang w:val="af-ZA"/>
        </w:rPr>
      </w:pP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 w:cs="Sylfaen"/>
          <w:b/>
          <w:szCs w:val="24"/>
          <w:lang w:val="af-ZA"/>
        </w:rPr>
        <w:t>ՀԱՅՏԱՐԱՐՈՒԹՅՈՒՆ</w:t>
      </w: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  <w:r w:rsidRPr="00E17483">
        <w:rPr>
          <w:rFonts w:ascii="GHEA Grapalat" w:hAnsi="GHEA Grapalat"/>
          <w:b/>
          <w:szCs w:val="24"/>
          <w:lang w:val="af-ZA"/>
        </w:rPr>
        <w:t>հրավերում փոփոխություններ կատարելու մասին</w:t>
      </w:r>
    </w:p>
    <w:p w:rsidR="00C14C7B" w:rsidRPr="00E17483" w:rsidRDefault="00C14C7B" w:rsidP="00230F14">
      <w:pPr>
        <w:jc w:val="center"/>
        <w:rPr>
          <w:rFonts w:ascii="GHEA Grapalat" w:hAnsi="GHEA Grapalat"/>
          <w:b/>
          <w:szCs w:val="24"/>
          <w:lang w:val="af-ZA"/>
        </w:rPr>
      </w:pP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Հայտարարության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սույն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տեքստը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հաստատված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գնահատող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հանձնաժողովի</w:t>
      </w: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E31259" w:rsidRPr="00E31259">
        <w:rPr>
          <w:rFonts w:ascii="GHEA Grapalat" w:hAnsi="GHEA Grapalat"/>
          <w:b/>
          <w:sz w:val="24"/>
          <w:szCs w:val="24"/>
          <w:lang w:val="af-ZA"/>
        </w:rPr>
        <w:t xml:space="preserve">2025 թվականի </w:t>
      </w:r>
      <w:r w:rsidR="004306BC">
        <w:rPr>
          <w:rFonts w:ascii="GHEA Grapalat" w:hAnsi="GHEA Grapalat"/>
          <w:b/>
          <w:sz w:val="24"/>
          <w:szCs w:val="24"/>
          <w:lang w:val="af-ZA"/>
        </w:rPr>
        <w:t>ապրիլի 17</w:t>
      </w:r>
      <w:r w:rsidRPr="00256245">
        <w:rPr>
          <w:rFonts w:ascii="GHEA Grapalat" w:hAnsi="GHEA Grapalat"/>
          <w:b/>
          <w:sz w:val="24"/>
          <w:szCs w:val="24"/>
          <w:lang w:val="af-ZA"/>
        </w:rPr>
        <w:t>-ի</w:t>
      </w:r>
      <w:r w:rsidRPr="00E17483">
        <w:rPr>
          <w:rFonts w:ascii="GHEA Grapalat" w:hAnsi="GHEA Grapalat"/>
          <w:sz w:val="24"/>
          <w:szCs w:val="24"/>
          <w:lang w:val="af-ZA"/>
        </w:rPr>
        <w:t xml:space="preserve"> 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թիվ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="00B42B3D">
        <w:rPr>
          <w:rFonts w:ascii="GHEA Grapalat" w:hAnsi="GHEA Grapalat"/>
          <w:b/>
          <w:sz w:val="24"/>
          <w:szCs w:val="24"/>
          <w:lang w:val="hy-AM"/>
        </w:rPr>
        <w:t>2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որոշմամբ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և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հրապարակվում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է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</w:p>
    <w:p w:rsidR="00C14C7B" w:rsidRPr="00E17483" w:rsidRDefault="00C14C7B" w:rsidP="00230F14">
      <w:pPr>
        <w:pStyle w:val="Heading3"/>
        <w:spacing w:line="240" w:lineRule="auto"/>
        <w:rPr>
          <w:rFonts w:ascii="GHEA Grapalat" w:hAnsi="GHEA Grapalat"/>
          <w:b/>
          <w:sz w:val="24"/>
          <w:szCs w:val="24"/>
          <w:lang w:val="af-ZA"/>
        </w:rPr>
      </w:pPr>
      <w:r w:rsidRPr="00E17483">
        <w:rPr>
          <w:rFonts w:ascii="GHEA Grapalat" w:hAnsi="GHEA Grapalat"/>
          <w:b/>
          <w:sz w:val="24"/>
          <w:szCs w:val="24"/>
          <w:lang w:val="af-ZA"/>
        </w:rPr>
        <w:t>“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Գնումների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մասին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”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ՀՀ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օրենքի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29-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րդ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հոդվածի</w:t>
      </w:r>
      <w:r w:rsidRPr="00E17483">
        <w:rPr>
          <w:rFonts w:ascii="GHEA Grapalat" w:hAnsi="GHEA Grapalat"/>
          <w:b/>
          <w:sz w:val="24"/>
          <w:szCs w:val="24"/>
          <w:lang w:val="af-ZA"/>
        </w:rPr>
        <w:t xml:space="preserve"> </w:t>
      </w:r>
      <w:r w:rsidRPr="00E17483">
        <w:rPr>
          <w:rFonts w:ascii="GHEA Grapalat" w:hAnsi="GHEA Grapalat" w:cs="Sylfaen"/>
          <w:b/>
          <w:sz w:val="24"/>
          <w:szCs w:val="24"/>
          <w:lang w:val="af-ZA"/>
        </w:rPr>
        <w:t>համաձայն</w:t>
      </w:r>
    </w:p>
    <w:p w:rsidR="00C14C7B" w:rsidRDefault="00C14C7B" w:rsidP="00230F14">
      <w:pPr>
        <w:pStyle w:val="Heading3"/>
        <w:spacing w:line="240" w:lineRule="auto"/>
        <w:rPr>
          <w:rFonts w:ascii="GHEA Grapalat" w:hAnsi="GHEA Grapalat"/>
          <w:b/>
          <w:lang w:val="af-ZA"/>
        </w:rPr>
      </w:pPr>
    </w:p>
    <w:p w:rsidR="00C14C7B" w:rsidRPr="00436BED" w:rsidRDefault="00C14C7B" w:rsidP="00230F14">
      <w:pPr>
        <w:pStyle w:val="Heading3"/>
        <w:spacing w:line="240" w:lineRule="auto"/>
        <w:rPr>
          <w:rFonts w:ascii="GHEA Grapalat" w:hAnsi="GHEA Grapalat"/>
          <w:sz w:val="24"/>
          <w:szCs w:val="24"/>
          <w:u w:val="single"/>
          <w:lang w:val="af-ZA"/>
        </w:rPr>
      </w:pPr>
      <w:r w:rsidRPr="00436BED">
        <w:rPr>
          <w:rFonts w:ascii="GHEA Grapalat" w:hAnsi="GHEA Grapalat"/>
          <w:b/>
          <w:sz w:val="24"/>
          <w:szCs w:val="24"/>
          <w:lang w:val="af-ZA"/>
        </w:rPr>
        <w:t xml:space="preserve">Ընթացակարգի ծածկագիրը 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ԵՊՀ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4D15E5" w:rsidRPr="00256245">
        <w:rPr>
          <w:rFonts w:ascii="GHEA Grapalat" w:hAnsi="GHEA Grapalat"/>
          <w:b/>
          <w:sz w:val="24"/>
          <w:szCs w:val="24"/>
          <w:lang w:val="en-US"/>
        </w:rPr>
        <w:t>ԷԱՃԱՊՁԲ</w:t>
      </w:r>
      <w:r w:rsidR="004D15E5" w:rsidRPr="00256245">
        <w:rPr>
          <w:rFonts w:ascii="GHEA Grapalat" w:hAnsi="GHEA Grapalat"/>
          <w:b/>
          <w:sz w:val="24"/>
          <w:szCs w:val="24"/>
          <w:lang w:val="af-ZA"/>
        </w:rPr>
        <w:t>-</w:t>
      </w:r>
      <w:r w:rsidR="004306BC">
        <w:rPr>
          <w:rFonts w:ascii="GHEA Grapalat" w:hAnsi="GHEA Grapalat"/>
          <w:b/>
          <w:sz w:val="24"/>
          <w:szCs w:val="24"/>
          <w:lang w:val="af-ZA"/>
        </w:rPr>
        <w:t>25/100</w:t>
      </w:r>
    </w:p>
    <w:p w:rsidR="00C14C7B" w:rsidRPr="00E17483" w:rsidRDefault="00C14C7B" w:rsidP="00230F14">
      <w:pPr>
        <w:rPr>
          <w:lang w:val="af-ZA"/>
        </w:rPr>
      </w:pPr>
    </w:p>
    <w:p w:rsidR="00C14C7B" w:rsidRPr="00CC7413" w:rsidRDefault="00C33553" w:rsidP="00230F14">
      <w:pPr>
        <w:pStyle w:val="Heading3"/>
        <w:spacing w:line="240" w:lineRule="auto"/>
        <w:jc w:val="both"/>
        <w:rPr>
          <w:rFonts w:ascii="GHEA Grapalat" w:hAnsi="GHEA Grapalat"/>
          <w:sz w:val="24"/>
          <w:szCs w:val="24"/>
          <w:u w:val="single"/>
          <w:lang w:val="af-ZA"/>
        </w:rPr>
      </w:pPr>
      <w:r w:rsidRPr="00C33553">
        <w:rPr>
          <w:rFonts w:ascii="GHEA Grapalat" w:hAnsi="GHEA Grapalat"/>
          <w:b/>
          <w:sz w:val="22"/>
          <w:szCs w:val="22"/>
        </w:rPr>
        <w:t>ԵՊՀ</w:t>
      </w:r>
      <w:r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Pr="00C33553">
        <w:rPr>
          <w:rFonts w:ascii="GHEA Grapalat" w:hAnsi="GHEA Grapalat"/>
          <w:b/>
          <w:sz w:val="22"/>
          <w:szCs w:val="22"/>
        </w:rPr>
        <w:t>հիմնադրամի</w:t>
      </w:r>
      <w:proofErr w:type="spellEnd"/>
      <w:r w:rsidRPr="00C33553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Ֆիզիկայի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0E3034">
        <w:rPr>
          <w:rFonts w:ascii="GHEA Grapalat" w:hAnsi="GHEA Grapalat"/>
          <w:b/>
          <w:sz w:val="22"/>
          <w:szCs w:val="22"/>
        </w:rPr>
        <w:t>ինստիտուտի</w:t>
      </w:r>
      <w:proofErr w:type="spellEnd"/>
      <w:r w:rsidR="000E3034" w:rsidRPr="000E3034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4306BC">
        <w:rPr>
          <w:rFonts w:ascii="GHEA Grapalat" w:hAnsi="GHEA Grapalat"/>
          <w:b/>
          <w:sz w:val="22"/>
          <w:szCs w:val="22"/>
        </w:rPr>
        <w:t>կարիքների</w:t>
      </w:r>
      <w:proofErr w:type="spellEnd"/>
      <w:r w:rsidR="004306BC" w:rsidRPr="004306B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4306BC">
        <w:rPr>
          <w:rFonts w:ascii="GHEA Grapalat" w:hAnsi="GHEA Grapalat"/>
          <w:b/>
          <w:sz w:val="22"/>
          <w:szCs w:val="22"/>
        </w:rPr>
        <w:t>համար</w:t>
      </w:r>
      <w:proofErr w:type="spellEnd"/>
      <w:r w:rsidR="004306BC" w:rsidRPr="004306B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4306BC">
        <w:rPr>
          <w:rFonts w:ascii="GHEA Grapalat" w:hAnsi="GHEA Grapalat"/>
          <w:b/>
          <w:sz w:val="22"/>
          <w:szCs w:val="22"/>
        </w:rPr>
        <w:t>լաբորատոր</w:t>
      </w:r>
      <w:proofErr w:type="spellEnd"/>
      <w:r w:rsidR="004306BC" w:rsidRPr="004306B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4306BC">
        <w:rPr>
          <w:rFonts w:ascii="GHEA Grapalat" w:hAnsi="GHEA Grapalat"/>
          <w:b/>
          <w:sz w:val="22"/>
          <w:szCs w:val="22"/>
        </w:rPr>
        <w:t>սարքերի</w:t>
      </w:r>
      <w:proofErr w:type="spellEnd"/>
      <w:r w:rsidR="004306BC" w:rsidRPr="004306B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r w:rsidR="004306BC">
        <w:rPr>
          <w:rFonts w:ascii="GHEA Grapalat" w:hAnsi="GHEA Grapalat"/>
          <w:b/>
          <w:sz w:val="22"/>
          <w:szCs w:val="22"/>
        </w:rPr>
        <w:t>և</w:t>
      </w:r>
      <w:r w:rsidR="004306BC" w:rsidRPr="004306BC">
        <w:rPr>
          <w:rFonts w:ascii="GHEA Grapalat" w:hAnsi="GHEA Grapalat"/>
          <w:b/>
          <w:sz w:val="22"/>
          <w:szCs w:val="22"/>
          <w:lang w:val="af-ZA"/>
        </w:rPr>
        <w:t xml:space="preserve"> </w:t>
      </w:r>
      <w:proofErr w:type="spellStart"/>
      <w:r w:rsidR="004306BC">
        <w:rPr>
          <w:rFonts w:ascii="GHEA Grapalat" w:hAnsi="GHEA Grapalat"/>
          <w:b/>
          <w:sz w:val="22"/>
          <w:szCs w:val="22"/>
        </w:rPr>
        <w:t>պարագաների</w:t>
      </w:r>
      <w:proofErr w:type="spellEnd"/>
      <w:r w:rsidR="00B42B3D">
        <w:rPr>
          <w:rFonts w:ascii="GHEA Grapalat" w:hAnsi="GHEA Grapalat" w:cs="Calibri"/>
          <w:b/>
          <w:color w:val="000000" w:themeColor="text1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 xml:space="preserve">ձեռքբերման նպատակով կազմակերպված </w:t>
      </w:r>
      <w:r w:rsidR="004D15E5" w:rsidRPr="00256245">
        <w:rPr>
          <w:rFonts w:ascii="GHEA Grapalat" w:hAnsi="GHEA Grapalat"/>
          <w:b/>
          <w:i w:val="0"/>
          <w:sz w:val="24"/>
          <w:szCs w:val="24"/>
          <w:lang w:val="en-US"/>
        </w:rPr>
        <w:t>ԵՊՀ</w:t>
      </w:r>
      <w:r w:rsidR="004D15E5"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4D15E5" w:rsidRPr="00256245">
        <w:rPr>
          <w:rFonts w:ascii="GHEA Grapalat" w:hAnsi="GHEA Grapalat"/>
          <w:b/>
          <w:i w:val="0"/>
          <w:sz w:val="24"/>
          <w:szCs w:val="24"/>
          <w:lang w:val="en-US"/>
        </w:rPr>
        <w:t>ԷԱՃԱՊՁԲ</w:t>
      </w:r>
      <w:r w:rsidR="004D15E5" w:rsidRPr="00256245">
        <w:rPr>
          <w:rFonts w:ascii="GHEA Grapalat" w:hAnsi="GHEA Grapalat"/>
          <w:b/>
          <w:i w:val="0"/>
          <w:sz w:val="24"/>
          <w:szCs w:val="24"/>
          <w:lang w:val="af-ZA"/>
        </w:rPr>
        <w:t>-</w:t>
      </w:r>
      <w:r w:rsidR="004306BC">
        <w:rPr>
          <w:rFonts w:ascii="GHEA Grapalat" w:hAnsi="GHEA Grapalat"/>
          <w:b/>
          <w:i w:val="0"/>
          <w:sz w:val="24"/>
          <w:szCs w:val="24"/>
          <w:lang w:val="af-ZA"/>
        </w:rPr>
        <w:t>25/100</w:t>
      </w:r>
      <w:r w:rsidR="004D15E5">
        <w:rPr>
          <w:rFonts w:ascii="GHEA Grapalat" w:hAnsi="GHEA Grapalat"/>
          <w:sz w:val="24"/>
          <w:szCs w:val="24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ծածկագրով գնման ընթացակարգի գնահատող հանձնաժողովը ստորև ներկայացնում է նույն ծածկագրով հրավերում կատարված փոփոխության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պատճառները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և կատարված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փոփոխությունների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համառոտ</w:t>
      </w:r>
      <w:r w:rsidR="00C14C7B"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C14C7B" w:rsidRPr="00436BED">
        <w:rPr>
          <w:rFonts w:ascii="GHEA Grapalat" w:hAnsi="GHEA Grapalat" w:cs="Sylfaen"/>
          <w:sz w:val="22"/>
          <w:szCs w:val="22"/>
          <w:lang w:val="af-ZA"/>
        </w:rPr>
        <w:t>նկարագրությունը</w:t>
      </w:r>
      <w:r w:rsidR="00C14C7B" w:rsidRPr="00436BED">
        <w:rPr>
          <w:rFonts w:ascii="GHEA Grapalat" w:hAnsi="GHEA Grapalat" w:cs="Arial Armenian"/>
          <w:sz w:val="22"/>
          <w:szCs w:val="22"/>
          <w:lang w:val="af-ZA"/>
        </w:rPr>
        <w:t>`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</w:p>
    <w:p w:rsidR="00C14C7B" w:rsidRPr="006F6851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առաջացման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պատճառ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N 1</w:t>
      </w:r>
      <w:r w:rsidR="00114557">
        <w:rPr>
          <w:rFonts w:ascii="GHEA Grapalat" w:hAnsi="GHEA Grapalat"/>
          <w:sz w:val="22"/>
          <w:szCs w:val="22"/>
          <w:u w:val="single"/>
          <w:lang w:val="af-ZA"/>
        </w:rPr>
        <w:t>՝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Pr="006F6851">
        <w:rPr>
          <w:rFonts w:ascii="GHEA Grapalat" w:hAnsi="GHEA Grapalat"/>
          <w:sz w:val="22"/>
          <w:szCs w:val="22"/>
          <w:lang w:val="af-ZA"/>
        </w:rPr>
        <w:t xml:space="preserve"> </w:t>
      </w:r>
      <w:r w:rsidR="004306BC">
        <w:rPr>
          <w:rFonts w:ascii="GHEA Grapalat" w:hAnsi="GHEA Grapalat"/>
          <w:b/>
          <w:sz w:val="22"/>
          <w:szCs w:val="22"/>
          <w:lang w:val="af-ZA"/>
        </w:rPr>
        <w:t>2-րդ չափաբաժն</w:t>
      </w:r>
      <w:r w:rsidR="00B162D2" w:rsidRPr="00C43FF4">
        <w:rPr>
          <w:rFonts w:ascii="GHEA Grapalat" w:hAnsi="GHEA Grapalat"/>
          <w:b/>
          <w:sz w:val="22"/>
          <w:szCs w:val="22"/>
          <w:lang w:val="af-ZA"/>
        </w:rPr>
        <w:t>ի</w:t>
      </w:r>
      <w:r w:rsidR="009A23A4" w:rsidRPr="006F6851">
        <w:rPr>
          <w:rFonts w:ascii="GHEA Grapalat" w:hAnsi="GHEA Grapalat"/>
          <w:sz w:val="22"/>
          <w:szCs w:val="22"/>
          <w:lang w:val="af-ZA"/>
        </w:rPr>
        <w:t xml:space="preserve">  </w:t>
      </w:r>
      <w:r w:rsidRPr="006F6851">
        <w:rPr>
          <w:rFonts w:ascii="GHEA Grapalat" w:hAnsi="GHEA Grapalat"/>
          <w:sz w:val="22"/>
          <w:szCs w:val="22"/>
          <w:lang w:val="af-ZA"/>
        </w:rPr>
        <w:t>տեխնիկական բնութագր</w:t>
      </w:r>
      <w:r w:rsidR="00CD7F49" w:rsidRPr="006F6851">
        <w:rPr>
          <w:rFonts w:ascii="GHEA Grapalat" w:hAnsi="GHEA Grapalat"/>
          <w:sz w:val="22"/>
          <w:szCs w:val="22"/>
          <w:lang w:val="af-ZA"/>
        </w:rPr>
        <w:t>եր</w:t>
      </w:r>
      <w:r w:rsidRPr="006F6851">
        <w:rPr>
          <w:rFonts w:ascii="GHEA Grapalat" w:hAnsi="GHEA Grapalat"/>
          <w:sz w:val="22"/>
          <w:szCs w:val="22"/>
          <w:lang w:val="af-ZA"/>
        </w:rPr>
        <w:t>ում փոփոխություն կատարելու անհրաժեշտություն</w:t>
      </w:r>
      <w:r w:rsidR="00C33553" w:rsidRPr="006F6851">
        <w:rPr>
          <w:rFonts w:ascii="GHEA Grapalat" w:hAnsi="GHEA Grapalat"/>
          <w:sz w:val="22"/>
          <w:szCs w:val="22"/>
          <w:lang w:val="af-ZA"/>
        </w:rPr>
        <w:t>.</w:t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</w:r>
      <w:r w:rsidRPr="006F6851">
        <w:rPr>
          <w:rFonts w:ascii="GHEA Grapalat" w:hAnsi="GHEA Grapalat" w:cs="Sylfaen"/>
          <w:sz w:val="22"/>
          <w:szCs w:val="22"/>
          <w:lang w:val="af-ZA"/>
        </w:rPr>
        <w:tab/>
        <w:t xml:space="preserve">    </w:t>
      </w:r>
    </w:p>
    <w:p w:rsidR="00C14C7B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hy-AM"/>
        </w:rPr>
      </w:pP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6F6851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6F6851">
        <w:rPr>
          <w:rFonts w:ascii="GHEA Grapalat" w:hAnsi="GHEA Grapalat" w:cs="Sylfaen"/>
          <w:sz w:val="22"/>
          <w:szCs w:val="22"/>
          <w:u w:val="single"/>
          <w:lang w:val="af-ZA"/>
        </w:rPr>
        <w:t>նկարագրություն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N </w:t>
      </w:r>
      <w:r w:rsidR="007C6031" w:rsidRPr="006F6851">
        <w:rPr>
          <w:rFonts w:ascii="GHEA Grapalat" w:hAnsi="GHEA Grapalat" w:cs="Sylfaen"/>
          <w:sz w:val="22"/>
          <w:szCs w:val="22"/>
          <w:lang w:val="af-ZA"/>
        </w:rPr>
        <w:t>1</w:t>
      </w:r>
      <w:r w:rsidR="00114557">
        <w:rPr>
          <w:rFonts w:ascii="GHEA Grapalat" w:hAnsi="GHEA Grapalat" w:cs="Sylfaen"/>
          <w:sz w:val="22"/>
          <w:szCs w:val="22"/>
          <w:lang w:val="af-ZA"/>
        </w:rPr>
        <w:t>՝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գնման ենթակա ապրանք</w:t>
      </w:r>
      <w:r w:rsidR="009A23A4" w:rsidRPr="006F6851">
        <w:rPr>
          <w:rFonts w:ascii="GHEA Grapalat" w:hAnsi="GHEA Grapalat" w:cs="Sylfaen"/>
          <w:sz w:val="22"/>
          <w:szCs w:val="22"/>
          <w:lang w:val="hy-AM"/>
        </w:rPr>
        <w:t>ների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 տեխնիկական բնութագր</w:t>
      </w:r>
      <w:r w:rsidR="00C133BC" w:rsidRPr="006F6851">
        <w:rPr>
          <w:rFonts w:ascii="GHEA Grapalat" w:hAnsi="GHEA Grapalat" w:cs="Sylfaen"/>
          <w:sz w:val="22"/>
          <w:szCs w:val="22"/>
          <w:lang w:val="af-ZA"/>
        </w:rPr>
        <w:t>եր</w:t>
      </w:r>
      <w:r w:rsidRPr="006F6851">
        <w:rPr>
          <w:rFonts w:ascii="GHEA Grapalat" w:hAnsi="GHEA Grapalat" w:cs="Sylfaen"/>
          <w:sz w:val="22"/>
          <w:szCs w:val="22"/>
          <w:lang w:val="af-ZA"/>
        </w:rPr>
        <w:t xml:space="preserve">ով սահմանվել </w:t>
      </w:r>
      <w:r w:rsidR="00FA01C1">
        <w:rPr>
          <w:rFonts w:ascii="GHEA Grapalat" w:hAnsi="GHEA Grapalat" w:cs="Sylfaen"/>
          <w:sz w:val="22"/>
          <w:szCs w:val="22"/>
          <w:lang w:val="hy-AM"/>
        </w:rPr>
        <w:t>են.</w:t>
      </w:r>
    </w:p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9A23A4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>
        <w:rPr>
          <w:rFonts w:ascii="GHEA Grapalat" w:hAnsi="GHEA Grapalat" w:cs="Arial"/>
          <w:b/>
          <w:szCs w:val="24"/>
          <w:lang w:val="hy-AM"/>
        </w:rPr>
        <w:t xml:space="preserve">ՀԻՆ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>
        <w:rPr>
          <w:rFonts w:ascii="GHEA Grapalat" w:hAnsi="GHEA Grapalat" w:cs="Arial"/>
          <w:b/>
          <w:szCs w:val="24"/>
          <w:lang w:val="hy-AM"/>
        </w:rPr>
        <w:t xml:space="preserve">ԲՆՈՒԹԱԳԻՐ </w:t>
      </w:r>
    </w:p>
    <w:tbl>
      <w:tblPr>
        <w:tblW w:w="127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830"/>
        <w:gridCol w:w="8385"/>
      </w:tblGrid>
      <w:tr w:rsidR="004306BC" w:rsidRPr="00924167" w:rsidTr="002F160C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4306BC" w:rsidRPr="00924167" w:rsidRDefault="004306BC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2830" w:type="dxa"/>
            <w:vMerge w:val="restart"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385" w:type="dxa"/>
            <w:vMerge w:val="restart"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</w:tr>
      <w:tr w:rsidR="004306BC" w:rsidRPr="00924167" w:rsidTr="002F160C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830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385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218D8" w:rsidRPr="002F160C" w:rsidTr="002F160C">
        <w:trPr>
          <w:trHeight w:val="597"/>
          <w:jc w:val="center"/>
        </w:trPr>
        <w:tc>
          <w:tcPr>
            <w:tcW w:w="1560" w:type="dxa"/>
            <w:vAlign w:val="center"/>
          </w:tcPr>
          <w:p w:rsidR="004218D8" w:rsidRPr="00A16F11" w:rsidRDefault="004218D8" w:rsidP="004218D8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2830" w:type="dxa"/>
          </w:tcPr>
          <w:p w:rsidR="004218D8" w:rsidRPr="004218D8" w:rsidRDefault="002F160C" w:rsidP="004218D8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62"/>
                <w:id w:val="644543776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Անխափան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սնուցման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սերվերային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</w:sdtContent>
            </w:sdt>
          </w:p>
        </w:tc>
        <w:tc>
          <w:tcPr>
            <w:tcW w:w="8385" w:type="dxa"/>
          </w:tcPr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38"/>
                <w:id w:val="-1292977787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Անխափան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սնուցման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Legrand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Daker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DK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plus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6000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կամ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համարժեք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Delta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RT 6kVA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մոդելների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.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39"/>
                <w:id w:val="-2118051103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Տիպ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-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կրկնակի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վերափոխում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(Online)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0"/>
                <w:id w:val="-1976909078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Մուտքային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լարումը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ներառի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220/ 230 / 240Վ</w:t>
                </w:r>
                <w:bookmarkStart w:id="0" w:name="_GoBack"/>
                <w:bookmarkEnd w:id="0"/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1"/>
                <w:id w:val="-478069023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Մուտքային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հաճախականությունը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`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ոչ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պակաս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քան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48-63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2"/>
                <w:id w:val="-1806778049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Մուտքային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տիրույթը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նորմալ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գործելու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համար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առանց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մարտկոցի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ռեժիմին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անցնելու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3"/>
                <w:id w:val="-72197637"/>
              </w:sdtPr>
              <w:sdtEndPr/>
              <w:sdtContent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50%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բեռի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դեպքում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-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ոչ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պակաս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100վ-275Վ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կամ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175-280 Վ (100%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բեռի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դեպքում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</w:t>
                </w:r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br/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4"/>
                <w:id w:val="1356457174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հզորություն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առնվազն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6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կՎԱ</w:t>
                </w:r>
                <w:proofErr w:type="spellEnd"/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5"/>
                <w:id w:val="1319776410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Արդյունավետ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ակտիվ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)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հզորություն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առնվազն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6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կՎտ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6"/>
                <w:id w:val="-784740835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լարումը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 220-240Վ 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7"/>
                <w:id w:val="-1839450351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տեսակը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սինուսոիդային</w:t>
                </w:r>
                <w:proofErr w:type="spellEnd"/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8"/>
                <w:id w:val="-700165202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աղավաղում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–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ոչ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ավել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3%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գծային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բեռնման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դեպքում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</w:t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49"/>
                <w:id w:val="-1976444214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հաճախականությունը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սինքրոնացված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էլեկտրոցանցի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հետ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 – 50/60Հց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0"/>
                <w:id w:val="-369385316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ունենա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միակցիչներ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որոնք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հնարավորություն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կտան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միացնել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միաժամանակ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երկու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։ 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1"/>
                <w:id w:val="-313100231"/>
              </w:sdtPr>
              <w:sdtEndPr/>
              <w:sdtContent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LCD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Display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էկրանի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առկայություն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որտեղ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արտացոլվում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մանրամասն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տեղեկատվություն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իր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վիճակի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և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պարամետրերի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մասին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շահագործման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ռեժիմի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բեռնվածության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կՎտ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),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մարտկոցի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կարգավիճակի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մուտքային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/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ելքային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(Վ) և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հաճախականության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)։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2"/>
                <w:id w:val="2055738569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Ցանցային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կառավարման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հնարավորություն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- SNMP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քարտ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(RJ 45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մուտքով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3"/>
                <w:id w:val="-1236241879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Աշխատանքային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միջավայր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-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ամբողջական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արդյունավետությամբ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աշխատի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առնվազն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5-95% RH, 0-+40°C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non-condensing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)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պայմաններում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։</w:t>
                </w:r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br/>
                </w:r>
              </w:sdtContent>
            </w:sdt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4"/>
                <w:id w:val="-424739631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Աղմուկի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մակարդակ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-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ոչ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ավել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քան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55dBA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5"/>
                <w:id w:val="1160201492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Ձայնային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ազդանշանների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առկայություն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՝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խնդիրների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առաջացման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պարագայում</w:t>
                </w:r>
                <w:proofErr w:type="spellEnd"/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6"/>
                <w:id w:val="1443262920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Առաջարկվող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սարքավորումը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լինի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նոր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չօգտագործված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սպասարկվի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մատակարարման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օրվանից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՝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առնվազն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2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տարվա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երաշխիքային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ժամկետում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առնվազն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2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տարի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մարտկոցների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համար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)։</w:t>
                </w:r>
              </w:sdtContent>
            </w:sdt>
          </w:p>
          <w:p w:rsidR="004218D8" w:rsidRPr="004218D8" w:rsidRDefault="004218D8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7"/>
                <w:id w:val="1407496265"/>
              </w:sdtPr>
              <w:sdtEndPr/>
              <w:sdtContent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Սարքը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ունենա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/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բավարարի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`</w:t>
                </w:r>
              </w:sdtContent>
            </w:sdt>
          </w:p>
          <w:p w:rsidR="004218D8" w:rsidRPr="004218D8" w:rsidRDefault="004218D8" w:rsidP="004218D8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2F160C" w:rsidP="004218D8">
            <w:pPr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sdt>
              <w:sdtPr>
                <w:rPr>
                  <w:rFonts w:ascii="GHEA Grapalat" w:hAnsi="GHEA Grapalat" w:cs="Arial"/>
                  <w:sz w:val="16"/>
                  <w:szCs w:val="16"/>
                  <w:lang w:val="ru-RU"/>
                </w:rPr>
                <w:tag w:val="goog_rdk_58"/>
                <w:id w:val="998000134"/>
              </w:sdtPr>
              <w:sdtEndPr/>
              <w:sdtContent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CE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սերտիֆիկացում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ինչպես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նաև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արտադրողի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կողմից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երաշխավորված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սպասարկման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կենտրոն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ՀՀ-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ում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,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իսկ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մասնակիցը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մատակարարման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ժամանակ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պետք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է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ներակայացնի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վերը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նշված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սերտիֆիկատները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և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արտադրողի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կողմից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երաշխավորման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</w:t>
                </w:r>
                <w:proofErr w:type="spellStart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>նամակը</w:t>
                </w:r>
                <w:proofErr w:type="spellEnd"/>
                <w:r w:rsidR="004218D8" w:rsidRPr="004218D8">
                  <w:rPr>
                    <w:rFonts w:ascii="GHEA Grapalat" w:hAnsi="GHEA Grapalat" w:cs="Arial"/>
                    <w:sz w:val="16"/>
                    <w:szCs w:val="16"/>
                    <w:lang w:val="ru-RU"/>
                  </w:rPr>
                  <w:t xml:space="preserve"> (MAF):</w:t>
                </w:r>
              </w:sdtContent>
            </w:sdt>
          </w:p>
          <w:p w:rsidR="004218D8" w:rsidRPr="004218D8" w:rsidRDefault="004218D8" w:rsidP="004218D8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  <w:p w:rsidR="004218D8" w:rsidRPr="004218D8" w:rsidRDefault="004218D8" w:rsidP="004218D8">
            <w:pPr>
              <w:tabs>
                <w:tab w:val="left" w:pos="0"/>
              </w:tabs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</w:tr>
    </w:tbl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0802A0" w:rsidRDefault="000802A0" w:rsidP="00230F14">
      <w:pPr>
        <w:ind w:firstLine="709"/>
        <w:jc w:val="both"/>
        <w:rPr>
          <w:rFonts w:ascii="GHEA Grapalat" w:hAnsi="GHEA Grapalat"/>
          <w:b/>
          <w:lang w:val="hy-AM"/>
        </w:rPr>
      </w:pPr>
    </w:p>
    <w:p w:rsidR="00C14C7B" w:rsidRDefault="00C14C7B" w:rsidP="00230F14">
      <w:pPr>
        <w:ind w:firstLine="709"/>
        <w:jc w:val="both"/>
        <w:rPr>
          <w:rFonts w:ascii="GHEA Grapalat" w:hAnsi="GHEA Grapalat"/>
          <w:b/>
          <w:lang w:val="af-ZA"/>
        </w:rPr>
      </w:pPr>
      <w:r w:rsidRPr="009A23A4">
        <w:rPr>
          <w:rFonts w:ascii="GHEA Grapalat" w:hAnsi="GHEA Grapalat"/>
          <w:b/>
          <w:lang w:val="hy-AM"/>
        </w:rPr>
        <w:t>Անհրաժեշտություն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է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առաջացել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գնման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ենթակա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ապրանքի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համար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սահմանել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նոր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տեխնիկական</w:t>
      </w:r>
      <w:r w:rsidRPr="009A23A4">
        <w:rPr>
          <w:rFonts w:ascii="GHEA Grapalat" w:hAnsi="GHEA Grapalat"/>
          <w:b/>
          <w:lang w:val="af-ZA"/>
        </w:rPr>
        <w:t xml:space="preserve"> </w:t>
      </w:r>
      <w:r w:rsidRPr="009A23A4">
        <w:rPr>
          <w:rFonts w:ascii="GHEA Grapalat" w:hAnsi="GHEA Grapalat"/>
          <w:b/>
          <w:lang w:val="hy-AM"/>
        </w:rPr>
        <w:t>բնութագրեր</w:t>
      </w:r>
      <w:r w:rsidRPr="009A23A4">
        <w:rPr>
          <w:rFonts w:ascii="GHEA Grapalat" w:hAnsi="GHEA Grapalat"/>
          <w:b/>
          <w:lang w:val="af-ZA"/>
        </w:rPr>
        <w:t xml:space="preserve">, </w:t>
      </w:r>
      <w:r w:rsidRPr="009A23A4">
        <w:rPr>
          <w:rFonts w:ascii="GHEA Grapalat" w:hAnsi="GHEA Grapalat"/>
          <w:b/>
          <w:lang w:val="hy-AM"/>
        </w:rPr>
        <w:t>որ</w:t>
      </w:r>
      <w:r w:rsidR="009A23A4">
        <w:rPr>
          <w:rFonts w:ascii="GHEA Grapalat" w:hAnsi="GHEA Grapalat"/>
          <w:b/>
          <w:lang w:val="hy-AM"/>
        </w:rPr>
        <w:t>ոնք ներկայացված են ստորև</w:t>
      </w:r>
    </w:p>
    <w:p w:rsidR="009A23A4" w:rsidRDefault="009A23A4" w:rsidP="00230F14">
      <w:pPr>
        <w:jc w:val="center"/>
        <w:rPr>
          <w:rFonts w:ascii="GHEA Grapalat" w:hAnsi="GHEA Grapalat" w:cs="Arial"/>
          <w:b/>
          <w:szCs w:val="24"/>
          <w:lang w:val="hy-AM"/>
        </w:rPr>
      </w:pPr>
      <w:r w:rsidRPr="009A23A4">
        <w:rPr>
          <w:rFonts w:ascii="GHEA Grapalat" w:hAnsi="GHEA Grapalat" w:cs="Arial"/>
          <w:b/>
          <w:szCs w:val="24"/>
          <w:lang w:val="hy-AM"/>
        </w:rPr>
        <w:t>ՆՈՐ</w:t>
      </w:r>
      <w:r>
        <w:rPr>
          <w:rFonts w:ascii="GHEA Grapalat" w:hAnsi="GHEA Grapalat" w:cs="Arial"/>
          <w:b/>
          <w:szCs w:val="24"/>
          <w:lang w:val="hy-AM"/>
        </w:rPr>
        <w:t xml:space="preserve"> </w:t>
      </w:r>
      <w:r w:rsidRPr="00463FA4">
        <w:rPr>
          <w:rFonts w:ascii="GHEA Grapalat" w:hAnsi="GHEA Grapalat" w:cs="Arial"/>
          <w:b/>
          <w:szCs w:val="24"/>
          <w:lang w:val="hy-AM"/>
        </w:rPr>
        <w:t xml:space="preserve">ՏԵԽՆԻԿԱԿԱՆ </w:t>
      </w:r>
      <w:r w:rsidR="003E432A">
        <w:rPr>
          <w:rFonts w:ascii="GHEA Grapalat" w:hAnsi="GHEA Grapalat" w:cs="Arial"/>
          <w:b/>
          <w:szCs w:val="24"/>
          <w:lang w:val="hy-AM"/>
        </w:rPr>
        <w:t>ԲՆՈՒԹԱԳԻՐ</w:t>
      </w:r>
    </w:p>
    <w:tbl>
      <w:tblPr>
        <w:tblW w:w="116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555"/>
        <w:gridCol w:w="8580"/>
      </w:tblGrid>
      <w:tr w:rsidR="004306BC" w:rsidRPr="00924167" w:rsidTr="004306BC">
        <w:trPr>
          <w:trHeight w:val="504"/>
          <w:jc w:val="center"/>
        </w:trPr>
        <w:tc>
          <w:tcPr>
            <w:tcW w:w="1560" w:type="dxa"/>
            <w:vMerge w:val="restart"/>
            <w:vAlign w:val="center"/>
          </w:tcPr>
          <w:p w:rsidR="004306BC" w:rsidRPr="00924167" w:rsidRDefault="004306BC" w:rsidP="00230F14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924167">
              <w:rPr>
                <w:rFonts w:ascii="GHEA Grapalat" w:hAnsi="GHEA Grapalat" w:cs="Arial"/>
                <w:sz w:val="16"/>
                <w:szCs w:val="16"/>
                <w:lang w:val="hy-AM"/>
              </w:rPr>
              <w:t>հրավերով</w:t>
            </w:r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նախատեսված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չափաբաժնի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համարը</w:t>
            </w:r>
            <w:proofErr w:type="spellEnd"/>
          </w:p>
        </w:tc>
        <w:tc>
          <w:tcPr>
            <w:tcW w:w="1555" w:type="dxa"/>
            <w:vMerge w:val="restart"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  <w:lang w:val="ru-RU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  <w:lang w:val="ru-RU"/>
              </w:rPr>
              <w:t>անվանում</w:t>
            </w:r>
            <w:proofErr w:type="spellEnd"/>
          </w:p>
        </w:tc>
        <w:tc>
          <w:tcPr>
            <w:tcW w:w="8580" w:type="dxa"/>
            <w:vMerge w:val="restart"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տեխնիկական</w:t>
            </w:r>
            <w:proofErr w:type="spellEnd"/>
            <w:r w:rsidRPr="00924167">
              <w:rPr>
                <w:rFonts w:ascii="GHEA Grapalat" w:hAnsi="GHEA Grapalat"/>
                <w:sz w:val="16"/>
                <w:szCs w:val="16"/>
              </w:rPr>
              <w:t xml:space="preserve"> </w:t>
            </w:r>
            <w:proofErr w:type="spellStart"/>
            <w:r w:rsidRPr="00924167">
              <w:rPr>
                <w:rFonts w:ascii="GHEA Grapalat" w:hAnsi="GHEA Grapalat" w:cs="Arial"/>
                <w:sz w:val="16"/>
                <w:szCs w:val="16"/>
              </w:rPr>
              <w:t>բնութագիրը</w:t>
            </w:r>
            <w:proofErr w:type="spellEnd"/>
          </w:p>
        </w:tc>
      </w:tr>
      <w:tr w:rsidR="004306BC" w:rsidRPr="00924167" w:rsidTr="004306BC">
        <w:trPr>
          <w:trHeight w:val="460"/>
          <w:jc w:val="center"/>
        </w:trPr>
        <w:tc>
          <w:tcPr>
            <w:tcW w:w="1560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555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580" w:type="dxa"/>
            <w:vMerge/>
            <w:vAlign w:val="center"/>
          </w:tcPr>
          <w:p w:rsidR="004306BC" w:rsidRPr="00924167" w:rsidRDefault="004306BC" w:rsidP="00230F1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4306BC" w:rsidRPr="002F160C" w:rsidTr="004218D8">
        <w:trPr>
          <w:trHeight w:val="597"/>
          <w:jc w:val="center"/>
        </w:trPr>
        <w:tc>
          <w:tcPr>
            <w:tcW w:w="1560" w:type="dxa"/>
            <w:vAlign w:val="center"/>
          </w:tcPr>
          <w:p w:rsidR="004306BC" w:rsidRDefault="004306BC" w:rsidP="00230F14">
            <w:pPr>
              <w:jc w:val="center"/>
              <w:rPr>
                <w:rFonts w:ascii="GHEA Grapalat" w:hAnsi="GHEA Grapalat"/>
                <w:sz w:val="18"/>
              </w:rPr>
            </w:pPr>
            <w:r>
              <w:rPr>
                <w:rFonts w:ascii="GHEA Grapalat" w:hAnsi="GHEA Grapalat"/>
                <w:sz w:val="18"/>
              </w:rPr>
              <w:t>2</w:t>
            </w:r>
          </w:p>
        </w:tc>
        <w:tc>
          <w:tcPr>
            <w:tcW w:w="1555" w:type="dxa"/>
          </w:tcPr>
          <w:p w:rsidR="004306BC" w:rsidRPr="004218D8" w:rsidRDefault="004306BC" w:rsidP="004218D8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proofErr w:type="spellStart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>Անխափան</w:t>
            </w:r>
            <w:proofErr w:type="spellEnd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>սնուցման</w:t>
            </w:r>
            <w:proofErr w:type="spellEnd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>սարք</w:t>
            </w:r>
            <w:proofErr w:type="spellEnd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</w:t>
            </w:r>
            <w:proofErr w:type="spellStart"/>
            <w:r w:rsidRPr="004218D8">
              <w:rPr>
                <w:rFonts w:ascii="GHEA Grapalat" w:hAnsi="GHEA Grapalat" w:cs="Arial"/>
                <w:sz w:val="16"/>
                <w:szCs w:val="16"/>
                <w:lang w:val="ru-RU"/>
              </w:rPr>
              <w:t>սերվերային</w:t>
            </w:r>
            <w:proofErr w:type="spellEnd"/>
          </w:p>
        </w:tc>
        <w:tc>
          <w:tcPr>
            <w:tcW w:w="8580" w:type="dxa"/>
          </w:tcPr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Անխափան սնուցման սարք Legrand Daker DK plus 6000 (Rackmount rail kit) կամ համարժեք Delta RT 6kVA (Rackmount rail kit) մոդելների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Սերվերային պահարանում տեղադրման համար նախատեսված ձևաչափի (Rackmount) և համապատասխան ամրակներով (Rackmount rail kit):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Տիպ - կրկնակի վերափոխում (Online)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Մուտքային լարումը – առվազն պետք է ներառի 220/ 230 / 240Վ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Մուտքային հաճախականությունը` ոչ պակաս քան</w:t>
            </w: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48-63 Հց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Մուտքային լարման տիրույթը նորմալ գործելու համար (առանց մարտկոցի ռեժիմին անցնելու)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50% բեռի դեպքում - ոչ պակաս 100վ-275Վ կամ 175-280 Վ (100% բեռի դեպքում)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Ելքային հզորություն – առնվազն 6 կՎԱ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Արդյունավետ (ակտիվ) հզորություն – առնվազն 6 կՎտ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Ելքային լարումը – 220-240Վ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Ելքային լարման տեսակը – սինուսոիդային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lastRenderedPageBreak/>
              <w:t>Ելքային լարման աղավաղում –ոչ ավել 3% (գծային բեռնման դեպքում)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Ելքային հաճախականությունը (սինքրոնացված էլեկտրոցանցի հետ) – 50/60Հց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Սարքը պետք է ունենա ելքային միակցիչներ, որոնք հնարավորություն</w:t>
            </w: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կտան միաժամանակ երկու համակարգչային սերվերների անխափան հոսանք ապահովել։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LCD Display էկրանի առկայություն, որտեղ արտացոլվում է մանրամասն տեղեկատվություն իր վիճակի և պարամետրերի մասին,շահագործման ռեժիմի, բեռնվածության (կՎտ), մարտկոցի կարգավիճակի, մուտքային / ելքային լարման (Վ) և հաճախականության (Հց)։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Ցանցային կառավարման հնարավորություն - SNMP քարտ (RJ 45 մուտքով)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Աշխատանքային միջավայր- ամբողջական արդյունավետությամբ պետք է աշխատի առնվազն 5-95% RH, 0-+40°C (non-condensing) պայմաններում։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br/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Աղմուկի մակարդակ- ոչ ավել քան 55dBA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Ձայնային ազդանշանների առկայություն՝ խնդիրների առաջացման պարագայում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Առաջարկվող սարքավորումը պետք է լինի նոր, չօգտագործված, պետք է սպասարկվի մատակարարման օրվանից՝ առնվազն 2 տարվա երաշխիքային ժամկետում (առնվազն 2 տարի մարտկոցների համար)։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</w:p>
          <w:p w:rsidR="004306BC" w:rsidRPr="004306BC" w:rsidRDefault="004306BC" w:rsidP="004218D8">
            <w:pPr>
              <w:shd w:val="clear" w:color="auto" w:fill="FFFFFF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Սարքը</w:t>
            </w: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 xml:space="preserve"> պետք է ունենա/բավարարի`</w:t>
            </w:r>
          </w:p>
          <w:p w:rsidR="004306BC" w:rsidRPr="004306BC" w:rsidRDefault="004306BC" w:rsidP="004218D8">
            <w:pPr>
              <w:shd w:val="clear" w:color="auto" w:fill="FFFFFF"/>
              <w:ind w:left="67" w:right="71"/>
              <w:rPr>
                <w:rFonts w:ascii="GHEA Grapalat" w:hAnsi="GHEA Grapalat" w:cs="Arial"/>
                <w:sz w:val="16"/>
                <w:szCs w:val="16"/>
                <w:lang w:val="ru-RU"/>
              </w:rPr>
            </w:pPr>
            <w:r w:rsidRPr="004306BC">
              <w:rPr>
                <w:rFonts w:ascii="Calibri" w:hAnsi="Calibri" w:cs="Calibri"/>
                <w:sz w:val="16"/>
                <w:szCs w:val="16"/>
                <w:lang w:val="ru-RU"/>
              </w:rPr>
              <w:t> </w:t>
            </w:r>
            <w:r w:rsidRPr="004306BC">
              <w:rPr>
                <w:rFonts w:ascii="GHEA Grapalat" w:hAnsi="GHEA Grapalat" w:cs="Arial"/>
                <w:sz w:val="16"/>
                <w:szCs w:val="16"/>
                <w:lang w:val="ru-RU"/>
              </w:rPr>
              <w:t>CE սերտիֆիկացում, ինչպես նաև արտադրողի կողմից երաշխավորված սպասարկման կենտրոն ՀՀ-ում, իսկ մասնակիցը մատակարարման ժամանակ պետք է ներակայացնի վերը նշված սերտիֆիկատները և արտադրողի կողմից երաշխավորման նամակը (MAF):</w:t>
            </w:r>
          </w:p>
          <w:p w:rsidR="004306BC" w:rsidRPr="004218D8" w:rsidRDefault="004306BC" w:rsidP="004218D8">
            <w:pPr>
              <w:rPr>
                <w:rFonts w:ascii="GHEA Grapalat" w:hAnsi="GHEA Grapalat" w:cs="Arial"/>
                <w:sz w:val="16"/>
                <w:szCs w:val="16"/>
                <w:lang w:val="ru-RU"/>
              </w:rPr>
            </w:pPr>
          </w:p>
        </w:tc>
      </w:tr>
    </w:tbl>
    <w:p w:rsidR="009A23A4" w:rsidRDefault="009A23A4" w:rsidP="00230F14">
      <w:pPr>
        <w:jc w:val="both"/>
        <w:rPr>
          <w:rFonts w:ascii="GHEA Grapalat" w:hAnsi="GHEA Grapalat" w:cs="Sylfaen"/>
          <w:sz w:val="22"/>
          <w:szCs w:val="22"/>
          <w:lang w:val="hy-AM"/>
        </w:rPr>
      </w:pPr>
    </w:p>
    <w:p w:rsidR="00C14C7B" w:rsidRPr="00436BE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>
        <w:rPr>
          <w:rFonts w:ascii="GHEA Grapalat" w:hAnsi="GHEA Grapalat"/>
          <w:sz w:val="22"/>
          <w:szCs w:val="22"/>
          <w:lang w:val="af-ZA"/>
        </w:rPr>
        <w:t xml:space="preserve">Հայտերի ներկայացման վերջնաժամկետ սահմանել </w:t>
      </w:r>
      <w:r w:rsidR="00E92E6D">
        <w:rPr>
          <w:rFonts w:ascii="GHEA Grapalat" w:hAnsi="GHEA Grapalat"/>
          <w:sz w:val="22"/>
          <w:szCs w:val="22"/>
          <w:lang w:val="af-ZA"/>
        </w:rPr>
        <w:t xml:space="preserve">2025թ. </w:t>
      </w:r>
      <w:r w:rsidR="004306BC">
        <w:rPr>
          <w:rFonts w:ascii="GHEA Grapalat" w:hAnsi="GHEA Grapalat"/>
          <w:sz w:val="22"/>
          <w:szCs w:val="22"/>
          <w:lang w:val="af-ZA"/>
        </w:rPr>
        <w:t>ապրիլի 28-ին ժամը  15։30</w:t>
      </w:r>
      <w:r w:rsidRPr="00EA5E48">
        <w:rPr>
          <w:rFonts w:ascii="GHEA Grapalat" w:hAnsi="GHEA Grapalat"/>
          <w:sz w:val="22"/>
          <w:szCs w:val="22"/>
          <w:lang w:val="af-ZA"/>
        </w:rPr>
        <w:t>-</w:t>
      </w:r>
      <w:r>
        <w:rPr>
          <w:rFonts w:ascii="GHEA Grapalat" w:hAnsi="GHEA Grapalat"/>
          <w:sz w:val="22"/>
          <w:szCs w:val="22"/>
          <w:lang w:val="af-ZA"/>
        </w:rPr>
        <w:t>ին: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</w:p>
    <w:p w:rsidR="00C14C7B" w:rsidRPr="00436BED" w:rsidRDefault="00C14C7B" w:rsidP="00711964">
      <w:pPr>
        <w:ind w:firstLine="709"/>
        <w:jc w:val="both"/>
        <w:rPr>
          <w:rFonts w:ascii="GHEA Grapalat" w:hAnsi="GHEA Grapalat" w:cs="Sylfaen"/>
          <w:sz w:val="22"/>
          <w:szCs w:val="22"/>
          <w:lang w:val="af-ZA"/>
        </w:rPr>
      </w:pP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Փոփոխության</w:t>
      </w:r>
      <w:r w:rsidRPr="00FA4AE3">
        <w:rPr>
          <w:rFonts w:ascii="GHEA Grapalat" w:hAnsi="GHEA Grapalat"/>
          <w:sz w:val="22"/>
          <w:szCs w:val="22"/>
          <w:u w:val="single"/>
          <w:lang w:val="af-ZA"/>
        </w:rPr>
        <w:t xml:space="preserve"> </w:t>
      </w:r>
      <w:r w:rsidRPr="00FA4AE3">
        <w:rPr>
          <w:rFonts w:ascii="GHEA Grapalat" w:hAnsi="GHEA Grapalat" w:cs="Sylfaen"/>
          <w:sz w:val="22"/>
          <w:szCs w:val="22"/>
          <w:u w:val="single"/>
          <w:lang w:val="af-ZA"/>
        </w:rPr>
        <w:t>հիմնավորում</w:t>
      </w:r>
      <w:r w:rsidR="00711964">
        <w:rPr>
          <w:rFonts w:ascii="GHEA Grapalat" w:hAnsi="GHEA Grapalat" w:cs="Sylfaen"/>
          <w:sz w:val="22"/>
          <w:szCs w:val="22"/>
          <w:u w:val="single"/>
          <w:lang w:val="af-ZA"/>
        </w:rPr>
        <w:t>՝</w:t>
      </w:r>
      <w:r w:rsidR="00711964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Pr="00436BED">
        <w:rPr>
          <w:rFonts w:ascii="GHEA Grapalat" w:hAnsi="GHEA Grapalat" w:cs="Sylfaen"/>
          <w:sz w:val="22"/>
          <w:szCs w:val="22"/>
          <w:lang w:val="af-ZA"/>
        </w:rPr>
        <w:t>Փոփոխությունը կատարվել է «Գնումների մասին» ՀՀ օրենքի 2</w:t>
      </w:r>
      <w:r>
        <w:rPr>
          <w:rFonts w:ascii="GHEA Grapalat" w:hAnsi="GHEA Grapalat" w:cs="Sylfaen"/>
          <w:sz w:val="22"/>
          <w:szCs w:val="22"/>
          <w:lang w:val="af-ZA"/>
        </w:rPr>
        <w:t>9</w:t>
      </w:r>
      <w:r w:rsidRPr="00436BED">
        <w:rPr>
          <w:rFonts w:ascii="GHEA Grapalat" w:hAnsi="GHEA Grapalat" w:cs="Sylfaen"/>
          <w:sz w:val="22"/>
          <w:szCs w:val="22"/>
          <w:lang w:val="af-ZA"/>
        </w:rPr>
        <w:t>-րդ հոդվածի պահանջների համաձայն:</w:t>
      </w:r>
    </w:p>
    <w:p w:rsidR="00C14C7B" w:rsidRPr="00436BED" w:rsidRDefault="00C14C7B" w:rsidP="00230F14">
      <w:pPr>
        <w:ind w:firstLine="709"/>
        <w:jc w:val="both"/>
        <w:rPr>
          <w:rFonts w:ascii="GHEA Grapalat" w:hAnsi="GHEA Grapalat"/>
          <w:sz w:val="22"/>
          <w:szCs w:val="22"/>
          <w:lang w:val="af-ZA"/>
        </w:rPr>
      </w:pP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  <w:r w:rsidRPr="00436BED">
        <w:rPr>
          <w:rFonts w:ascii="GHEA Grapalat" w:hAnsi="GHEA Grapalat" w:cs="Sylfaen"/>
          <w:sz w:val="22"/>
          <w:szCs w:val="22"/>
          <w:lang w:val="af-ZA"/>
        </w:rPr>
        <w:tab/>
      </w:r>
    </w:p>
    <w:p w:rsidR="00C14C7B" w:rsidRPr="00B351FB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hy-AM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Սույն հայտարարության հետ կապված լրացուցիչ տեղեկություններ ստանալու համար կարող եք դիմել գ</w:t>
      </w:r>
      <w:r>
        <w:rPr>
          <w:rFonts w:ascii="GHEA Grapalat" w:hAnsi="GHEA Grapalat"/>
          <w:sz w:val="22"/>
          <w:szCs w:val="22"/>
          <w:lang w:val="af-ZA"/>
        </w:rPr>
        <w:t>նահատող հանձնաժողովի քարտուղար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EE1967">
        <w:rPr>
          <w:rFonts w:ascii="GHEA Grapalat" w:hAnsi="GHEA Grapalat"/>
          <w:sz w:val="22"/>
          <w:szCs w:val="22"/>
          <w:lang w:val="af-ZA"/>
        </w:rPr>
        <w:t>Լուսինե Այվազ</w:t>
      </w:r>
      <w:r w:rsidR="000802A0">
        <w:rPr>
          <w:rFonts w:ascii="GHEA Grapalat" w:hAnsi="GHEA Grapalat"/>
          <w:sz w:val="22"/>
          <w:szCs w:val="22"/>
          <w:lang w:val="af-ZA"/>
        </w:rPr>
        <w:t>յանին</w:t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  <w:r w:rsidRPr="00436BED">
        <w:rPr>
          <w:rFonts w:ascii="GHEA Grapalat" w:hAnsi="GHEA Grapalat"/>
          <w:sz w:val="22"/>
          <w:szCs w:val="22"/>
          <w:lang w:val="af-ZA"/>
        </w:rPr>
        <w:tab/>
      </w:r>
    </w:p>
    <w:p w:rsidR="00C14C7B" w:rsidRPr="00436BE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>Հե</w:t>
      </w:r>
      <w:r w:rsidRPr="00436BED">
        <w:rPr>
          <w:rFonts w:ascii="GHEA Grapalat" w:hAnsi="GHEA Grapalat"/>
          <w:sz w:val="22"/>
          <w:szCs w:val="22"/>
          <w:lang w:val="hy-AM"/>
        </w:rPr>
        <w:t>ռ</w:t>
      </w:r>
      <w:r w:rsidRPr="00436BED">
        <w:rPr>
          <w:rFonts w:ascii="Cambria Math" w:hAnsi="Cambria Math"/>
          <w:sz w:val="22"/>
          <w:szCs w:val="22"/>
          <w:lang w:val="hy-AM"/>
        </w:rPr>
        <w:t>․՝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>
        <w:rPr>
          <w:rFonts w:ascii="GHEA Grapalat" w:hAnsi="GHEA Grapalat"/>
          <w:sz w:val="22"/>
          <w:szCs w:val="22"/>
          <w:lang w:val="af-ZA"/>
        </w:rPr>
        <w:t>060</w:t>
      </w:r>
      <w:r w:rsidR="004D15E5">
        <w:rPr>
          <w:rFonts w:ascii="GHEA Grapalat" w:hAnsi="GHEA Grapalat"/>
          <w:sz w:val="22"/>
          <w:szCs w:val="22"/>
          <w:lang w:val="af-ZA"/>
        </w:rPr>
        <w:t>710009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, </w:t>
      </w:r>
    </w:p>
    <w:p w:rsidR="00C14C7B" w:rsidRPr="00436BED" w:rsidRDefault="00C14C7B" w:rsidP="00230F14">
      <w:pPr>
        <w:pStyle w:val="BodyTextIndent"/>
        <w:spacing w:after="0"/>
        <w:rPr>
          <w:rFonts w:ascii="GHEA Grapalat" w:hAnsi="GHEA Grapalat"/>
          <w:i/>
          <w:sz w:val="22"/>
          <w:szCs w:val="22"/>
          <w:lang w:val="af-ZA"/>
        </w:rPr>
      </w:pPr>
      <w:r w:rsidRPr="00436BED">
        <w:rPr>
          <w:rFonts w:ascii="GHEA Grapalat" w:hAnsi="GHEA Grapalat"/>
          <w:sz w:val="22"/>
          <w:szCs w:val="22"/>
          <w:lang w:val="af-ZA"/>
        </w:rPr>
        <w:t xml:space="preserve">Էլ. </w:t>
      </w:r>
      <w:r w:rsidRPr="00436BED">
        <w:rPr>
          <w:rFonts w:ascii="GHEA Grapalat" w:hAnsi="GHEA Grapalat"/>
          <w:sz w:val="22"/>
          <w:szCs w:val="22"/>
          <w:lang w:val="hy-AM"/>
        </w:rPr>
        <w:t>Փ</w:t>
      </w:r>
      <w:r w:rsidRPr="00436BED">
        <w:rPr>
          <w:rFonts w:ascii="GHEA Grapalat" w:hAnsi="GHEA Grapalat"/>
          <w:sz w:val="22"/>
          <w:szCs w:val="22"/>
          <w:lang w:val="af-ZA"/>
        </w:rPr>
        <w:t>ոստ</w:t>
      </w:r>
      <w:r w:rsidRPr="00436BED">
        <w:rPr>
          <w:rFonts w:ascii="GHEA Grapalat" w:hAnsi="GHEA Grapalat"/>
          <w:sz w:val="22"/>
          <w:szCs w:val="22"/>
          <w:lang w:val="hy-AM"/>
        </w:rPr>
        <w:t>՝</w:t>
      </w:r>
      <w:r w:rsidRPr="00436BED">
        <w:rPr>
          <w:rFonts w:ascii="GHEA Grapalat" w:hAnsi="GHEA Grapalat"/>
          <w:sz w:val="22"/>
          <w:szCs w:val="22"/>
          <w:lang w:val="af-ZA"/>
        </w:rPr>
        <w:t xml:space="preserve"> </w:t>
      </w:r>
      <w:r w:rsidR="004D15E5">
        <w:rPr>
          <w:rFonts w:ascii="GHEA Grapalat" w:hAnsi="GHEA Grapalat"/>
          <w:sz w:val="22"/>
          <w:szCs w:val="22"/>
          <w:lang w:val="af-ZA"/>
        </w:rPr>
        <w:t>gnumner@ysu.am</w:t>
      </w:r>
    </w:p>
    <w:p w:rsidR="0026644A" w:rsidRPr="00C14C7B" w:rsidRDefault="00C14C7B" w:rsidP="00230F14">
      <w:pPr>
        <w:pStyle w:val="BodyTextIndent3"/>
        <w:spacing w:after="0"/>
        <w:rPr>
          <w:lang w:val="af-ZA"/>
        </w:rPr>
      </w:pPr>
      <w:r w:rsidRPr="001A68AF">
        <w:rPr>
          <w:rFonts w:ascii="GHEA Grapalat" w:hAnsi="GHEA Grapalat"/>
          <w:b/>
          <w:szCs w:val="22"/>
          <w:lang w:val="af-ZA"/>
        </w:rPr>
        <w:t>Պատվիրատու</w:t>
      </w:r>
      <w:r w:rsidRPr="001A68AF">
        <w:rPr>
          <w:rFonts w:ascii="GHEA Grapalat" w:hAnsi="GHEA Grapalat"/>
          <w:b/>
          <w:szCs w:val="22"/>
          <w:lang w:val="hy-AM"/>
        </w:rPr>
        <w:t>՝</w:t>
      </w:r>
      <w:r w:rsidRPr="001A68AF">
        <w:rPr>
          <w:rFonts w:ascii="GHEA Grapalat" w:hAnsi="GHEA Grapalat"/>
          <w:b/>
          <w:szCs w:val="22"/>
          <w:lang w:val="af-ZA"/>
        </w:rPr>
        <w:t xml:space="preserve"> 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«</w:t>
      </w:r>
      <w:r w:rsidR="004D15E5">
        <w:rPr>
          <w:rFonts w:ascii="GHEA Grapalat" w:hAnsi="GHEA Grapalat"/>
          <w:sz w:val="22"/>
          <w:szCs w:val="22"/>
        </w:rPr>
        <w:t>ԵՊՀ</w:t>
      </w:r>
      <w:r w:rsidR="004D15E5" w:rsidRPr="004D15E5">
        <w:rPr>
          <w:rFonts w:ascii="GHEA Grapalat" w:hAnsi="GHEA Grapalat"/>
          <w:sz w:val="22"/>
          <w:szCs w:val="22"/>
          <w:lang w:val="af-ZA"/>
        </w:rPr>
        <w:t>»</w:t>
      </w:r>
      <w:r w:rsidR="004D15E5">
        <w:rPr>
          <w:rFonts w:ascii="GHEA Grapalat" w:hAnsi="GHEA Grapalat"/>
          <w:sz w:val="22"/>
          <w:szCs w:val="22"/>
          <w:lang w:val="af-ZA"/>
        </w:rPr>
        <w:t xml:space="preserve"> հիմնադրամ</w:t>
      </w:r>
    </w:p>
    <w:sectPr w:rsidR="0026644A" w:rsidRPr="00C14C7B" w:rsidSect="00B351FB">
      <w:pgSz w:w="16838" w:h="11906" w:orient="landscape"/>
      <w:pgMar w:top="426" w:right="1134" w:bottom="36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68011F"/>
    <w:multiLevelType w:val="hybridMultilevel"/>
    <w:tmpl w:val="9ACE7FF6"/>
    <w:lvl w:ilvl="0" w:tplc="7916D37A">
      <w:numFmt w:val="bullet"/>
      <w:lvlText w:val="-"/>
      <w:lvlJc w:val="left"/>
      <w:pPr>
        <w:ind w:left="720" w:hanging="360"/>
      </w:pPr>
      <w:rPr>
        <w:rFonts w:ascii="Sylfaen" w:eastAsiaTheme="minorHAnsi" w:hAnsi="Sylfaen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775428"/>
    <w:multiLevelType w:val="hybridMultilevel"/>
    <w:tmpl w:val="D0B43F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2F5654"/>
    <w:multiLevelType w:val="multilevel"/>
    <w:tmpl w:val="1E982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4C7B"/>
    <w:rsid w:val="00045D21"/>
    <w:rsid w:val="000802A0"/>
    <w:rsid w:val="00093172"/>
    <w:rsid w:val="000B4D3E"/>
    <w:rsid w:val="000D1143"/>
    <w:rsid w:val="000E3034"/>
    <w:rsid w:val="00114557"/>
    <w:rsid w:val="00126366"/>
    <w:rsid w:val="0013527A"/>
    <w:rsid w:val="001A02DB"/>
    <w:rsid w:val="001C4119"/>
    <w:rsid w:val="00230F14"/>
    <w:rsid w:val="00240E71"/>
    <w:rsid w:val="002449F3"/>
    <w:rsid w:val="00256245"/>
    <w:rsid w:val="00262ECF"/>
    <w:rsid w:val="0026644A"/>
    <w:rsid w:val="0029509A"/>
    <w:rsid w:val="002E350B"/>
    <w:rsid w:val="002E4351"/>
    <w:rsid w:val="002F160C"/>
    <w:rsid w:val="002F2B38"/>
    <w:rsid w:val="00330C4A"/>
    <w:rsid w:val="003E432A"/>
    <w:rsid w:val="004218D8"/>
    <w:rsid w:val="004306BC"/>
    <w:rsid w:val="004469D9"/>
    <w:rsid w:val="00486630"/>
    <w:rsid w:val="004D15E5"/>
    <w:rsid w:val="004E2084"/>
    <w:rsid w:val="004E2DCE"/>
    <w:rsid w:val="004F7EA4"/>
    <w:rsid w:val="00501C3E"/>
    <w:rsid w:val="005C2F2F"/>
    <w:rsid w:val="005E238F"/>
    <w:rsid w:val="00602ED0"/>
    <w:rsid w:val="006302F5"/>
    <w:rsid w:val="00630454"/>
    <w:rsid w:val="006A1D16"/>
    <w:rsid w:val="006A52AD"/>
    <w:rsid w:val="006F6851"/>
    <w:rsid w:val="00711964"/>
    <w:rsid w:val="00711C81"/>
    <w:rsid w:val="00741432"/>
    <w:rsid w:val="00761379"/>
    <w:rsid w:val="007B73AF"/>
    <w:rsid w:val="007C6031"/>
    <w:rsid w:val="007D71AC"/>
    <w:rsid w:val="007F6CFB"/>
    <w:rsid w:val="008E6110"/>
    <w:rsid w:val="008F498E"/>
    <w:rsid w:val="009A23A4"/>
    <w:rsid w:val="009F620A"/>
    <w:rsid w:val="00A16F11"/>
    <w:rsid w:val="00A22083"/>
    <w:rsid w:val="00A67E71"/>
    <w:rsid w:val="00A83793"/>
    <w:rsid w:val="00AC0F72"/>
    <w:rsid w:val="00B046D3"/>
    <w:rsid w:val="00B162D2"/>
    <w:rsid w:val="00B351FB"/>
    <w:rsid w:val="00B42B3D"/>
    <w:rsid w:val="00BC2D08"/>
    <w:rsid w:val="00C133BC"/>
    <w:rsid w:val="00C14C7B"/>
    <w:rsid w:val="00C33553"/>
    <w:rsid w:val="00C43FF4"/>
    <w:rsid w:val="00CD7F49"/>
    <w:rsid w:val="00CE4603"/>
    <w:rsid w:val="00D463ED"/>
    <w:rsid w:val="00DE03F9"/>
    <w:rsid w:val="00DF0B5C"/>
    <w:rsid w:val="00E31259"/>
    <w:rsid w:val="00E92E6D"/>
    <w:rsid w:val="00EE1967"/>
    <w:rsid w:val="00F41C33"/>
    <w:rsid w:val="00F92B25"/>
    <w:rsid w:val="00FA01C1"/>
    <w:rsid w:val="00FB63AC"/>
    <w:rsid w:val="00FF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51FC01"/>
  <w15:chartTrackingRefBased/>
  <w15:docId w15:val="{4594BE73-A7B1-4D13-A47D-1AFAD0592C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14C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Heading3">
    <w:name w:val="heading 3"/>
    <w:basedOn w:val="Normal"/>
    <w:next w:val="Normal"/>
    <w:link w:val="Heading3Char"/>
    <w:qFormat/>
    <w:rsid w:val="00C14C7B"/>
    <w:pPr>
      <w:keepNext/>
      <w:spacing w:line="360" w:lineRule="auto"/>
      <w:jc w:val="center"/>
      <w:outlineLvl w:val="2"/>
    </w:pPr>
    <w:rPr>
      <w:rFonts w:ascii="Arial LatArm" w:hAnsi="Arial LatArm"/>
      <w:i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C14C7B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ListParagraph">
    <w:name w:val="List Paragraph"/>
    <w:basedOn w:val="Normal"/>
    <w:link w:val="ListParagraphChar"/>
    <w:uiPriority w:val="34"/>
    <w:qFormat/>
    <w:rsid w:val="00C14C7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C14C7B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C14C7B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styleId="BodyTextIndent3">
    <w:name w:val="Body Text Indent 3"/>
    <w:basedOn w:val="Normal"/>
    <w:link w:val="BodyTextIndent3Char"/>
    <w:uiPriority w:val="99"/>
    <w:unhideWhenUsed/>
    <w:rsid w:val="00C14C7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C14C7B"/>
    <w:rPr>
      <w:rFonts w:ascii="Times New Roman" w:eastAsia="Times New Roman" w:hAnsi="Times New Roman" w:cs="Times New Roman"/>
      <w:sz w:val="16"/>
      <w:szCs w:val="16"/>
      <w:lang w:val="en-US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5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51"/>
    <w:rPr>
      <w:rFonts w:ascii="Segoe UI" w:eastAsia="Times New Roman" w:hAnsi="Segoe UI" w:cs="Segoe UI"/>
      <w:sz w:val="18"/>
      <w:szCs w:val="18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486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03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788</Words>
  <Characters>4498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Lusine Ayvazyan</cp:lastModifiedBy>
  <cp:revision>90</cp:revision>
  <cp:lastPrinted>2024-09-30T11:02:00Z</cp:lastPrinted>
  <dcterms:created xsi:type="dcterms:W3CDTF">2024-02-26T07:35:00Z</dcterms:created>
  <dcterms:modified xsi:type="dcterms:W3CDTF">2025-04-17T10:23:00Z</dcterms:modified>
</cp:coreProperties>
</file>