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ԲԿԳԿ-ԷԱՃԱՊՁԲ-25/21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ԲԿԳԿ-ԷԱՃԱՊՁԲ-25/21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ԲԿԳԿ-ԷԱՃԱՊՁԲ-25/21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ԲԿԳԿ-ԷԱՃԱՊՁԲ-25/21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ԳԲՀ համակարգ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18</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ԲԿԳԿ-ԷԱՃԱՊՁԲ-25/21</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ԲԿԳԿ-ԷԱՃԱՊՁԲ-25/21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ԲԿԳԿ-ԷԱՃԱՊՁԲ-25/21</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«ԲԿԳԿ-ԷԱՃԱՊՁԲ-25/21»*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Բարձրագույն կրթության և գիտության կոմիտե</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ԲԿԳԿ-ԷԱՃԱՊՁԲ-25/21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«ԲԿԳԿ-ԷԱՃԱՊՁԲ-25/21»*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ԲԿԳԿ-ԷԱՃԱՊՁԲ-25/21</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«ԲԿԳԿ-ԷԱՃԱՊՁԲ-25/21»*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ԲԱՐՁՐԱԳՈՒՅՆ ԿՐԹՈՒԹՅԱՆ և ԳԻՏՈՒԹՅԱՆ ԿՈՄԻՏԵԻ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ԳԲՀ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Իմպուլսի լարում/հոսանք/հզորություն/տևողություն՝ 250- 360 կՎ /200– 350 Ա /20- 50 ՄՎտ /0,5– 10 մկվ, Լարման կայունություն / միջ. քառ. Շեղում՝ « 0.5 % / մկվ / 0,01 %, Կրկնման հաճախություն՝ 0 – 50 Հց ՝	ղեկավարելի, Հովացում (ներառյալ կլիստրոնը և այլն)՝ ներքին, մաքուր ջուր 10-160 լ/ր, Սպառման հզորություն (միջին / մաքս.)՝  80 / 115 կՎտ: Կլիստրոն՝ THALES TH2100 կամ TOSHIBA E37302/E37310 THOMSON TH2094 , կամ այլ համապատասխան: Սարքը պետք է ունենա հետևյալ տեխնիկական հագեցվածությունը.
•	Հոսանքի բաշխման համակարգ (Պինդմարմնային մոդուլյատոր)
•	Ունակային լիցքավորման սնուցման աղբյուրներ (CCPS)
•	Պինդմարմնային անջատիչներ (SU)
•	Իմպուլսային տրանսֆորմատոր և բաք (տրանսֆորմատորի յուղը մատակարարվում է առանձին)
•	Ճառագայթային պաշտպանություն (կլիստրոնի բաքում)
•	Ներքին ջրային հովացման բազմախողովակ համակարգ՝ հոսքի բլոկավորումներով մոդուլյատորի, կլիստրոնի և սոլենոիդի համար
•	Շեղման հոսանքի սնուցման աղբյուր
•	Շիկացման թելիկի սնուցման աղբյուր
•	Սոլենոիդի սնուցման աղբյուր
•	Իոնային պոմպի սնուցման աղբյուր
•	ԳԲՀ ուժեղացուցիչ (օգտագործելով 10 մՎտ արտաքին ԳԲՀ տատանումների աղբյուրը որպես մուտքային ազդանշան)
•	Կլիստրոնի վարդակ՝ համապառասխան կլիստրոնի
•	Սոլենոիդ մագնիս 
•	Կլիստրոնի իմպուլսային ախտորոշում (Կլիստրոնի լարման և հոսանքի թվայնացում կառավարման ինտերֆեյսում)
•	ԳԲՀ ախտորոշում՝ ընկնող և անդրադարձած հզորության համար՝ անդրադարձած հզորության բլոկավորմամբ (օգտագործելով ազդանշաններ Ուղղորդված կապակցիչից՝ չի ներառվում)
•	կլիստրոնի ելքային եզրի անցում դեպի DESY WR284 (SLAC տեսակի) 
•	Կառավարման համակարգ (տեղային և հեռակառավարմամբ): Բոլոր ենթահամակարգերը (լարումներ, հոսքեր, ճնշումներ, ջերմաստիճաններ, վակուում  և այլն)՝ ինտեգրված մեկ ծրագրում, ներառյալ անդրադարձած ալիքի ինտերլոքը: Սպասարկում / երաշխիք՝ » 10 / 1 տարի, ներառյալ տեղադրումը և մեկնարկը: Մրցույթի մասնակիցը սարքը մատակարարումից հետո պետք է կատարի սարքի տեղադրում և փորձարկում արտադրող գործարանի  կողմից սերտեֆիկացված մասնագետների միջոցով: Մասնակիցը պետք է ապահովի բոլոր պայմանները Գնորդի տարածքում սարքի լիարժեք աշխատանքը ապահովելու համար, ներառյալ ՝ կոնստրուկցիոն աշխատանքներ, հովացման սիստեմի ապահովում, տրանսֆորմատորի յուղ, այլ աշխատանքներ: Սարքը լիարժեք գործարկելու համար Գնորդը չպետք է կատարի վերադիր այլ աշխատանքներ: Մրցույթի մասնակիցը սարքը մատակարարումից հետո պետք է կատարի անձնակազմի հիմնական ուսուցում տեղում 7 աշխ. օր, արտադրողի կոմից սերտեֆիկացված մասնագետի կամ մասնագետների կողմից: Մրցույթի մասնակիցը ի լրումն Ապրանքի ամբողջական նկարագրի Գնորդին պետք է ներկայացնի՝
•	Ապրանքն արտադրողից կամ վերջինիս ներկայացուցչից երաշխիքային նամակի (MAF կամ DAF) կամ համապատասխանության սերտիֆիկատ
•	Ապրանքները առաքվում են Գնորդին՝
հարկերը և մաքսատուրքերը վճարված: Բոլոր շինարարական աշխատանքները, հովացման համակարգի ապահովումը, տրանսֆորմատորային յուղը և այլ աշխատանքները կազմակերպվում են տեղում և վճարվում են մասնակցի կողմից
•	Հայաստանի Հանրապետության ոչ ռեզիդենտ մասնակցի դեպքում առաքումը՝ INCOTERMS 2020 DDP: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0022, փ. Աճառյան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14 ամսվա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ԳԲՀ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