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ծածկոցով ըմբշամարտի գորգ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ծածկոցով ըմբշամարտի գորգ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ծածկոցով ըմբշամարտի գորգ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ծածկոցով ըմբշամարտի գորգ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ՀՀԱՄԱՇՏ-ԷԱՃԱՊՁԲ-25/6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նորմերին համապատասխան մրցումային եռագույն ըմբշամարտի գորգ լրակազմ: Ծածկոցը բարձր որակի ՊՎԽ (պոլիվինիլխրոիդ)/ПВХ (поливинилхлорид)/  650գ/մ2, 12մX12մ չափսի:Ըմշամարտի ներքնակները ՊՊԵ(պենոպոլիէթիլեն), խտությունը 33կգ/մ3 , երկարությունը 2մ, լայնությունը 1մ,բարձրությունը 5-6սմ,72 հատ՝ 144մ2 :
Ապրանքնեը պետք է լինեն նոր և չօգտագործված: Ապրանքների տեղափոխումը, բեռնաթափումը և մարզադահլիճում տեղադրումը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Արագածոտն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25-րդ օրացուցային օրը պայմանագիրը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