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ծառերի և լամպերի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ծառերի և լամպերի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ծառերի և լամպերի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ծառերի և լամպերի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(գնդաձև ակացիաներ)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ՉՀ-ԷԱՃԱՊՁԲ-2025/4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- 900132000135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ԾԱՌԵՐԻ ԵՎ ԼԱՄՊԵՐԻ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(գնդաձև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ակացիաներ` տնկի 1-1.5 մետր (արմատից վերև), մատղաշ ցողունով` տրամագիծը՝ 3-4 սմ, սաղարթի 4-5 ճյուղերով, առողջ մազարմատային համակարգով, բողբոջները չբացված, առանց չորացած ճյուղերի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օվալաձև, հոսանքի լարումը՝ AC65-265 Վ, ցանցի հաճախականությունը՝ 47-63 Հց, սպառվող հզորությունը՝ 100 Վտ, լուսային հոսքը՝ ոչ պակաս 16000 լյումեն, հզորության գործակիցը (pf)՝ »0.95, գունահաղորդման ինդեքսը (Ra)՝ »70, գունային ջերմաստիճանը՝ 3000 Կ, լուսադիոդների քանակը՝ 144 հատ, ջերմադիմացկունությունը՝ -50 +50 0C, լույսի ճառագայթի անկյունը՝ 120, լուսավորման անկյունի կարգավորմամբ՝ 50, շրջակա միջավայրի ներգործությունից պաշտպանվածության աստիճանը՝ ոչ պակաս IP 66, աշխատանքային ժամը՝ առնվազն 50000, չափսերը՝ 564*204*45 սմ (շեղումը՝ ±5%), ամրացման տրամագիծը՝ 6-6.5 սմ, խորությունը՝ 13 սմ, ամրացումը 2 հեղյուսի միջոցով, ամրակը՝ շարժական, քաշը՝ ոչ պակաս 3 կգ: Լուսատուն պետք է բաղկացած լինի առանձին մատրիցայից և առանձին դրայվերից: Դրայվերը պետք է լինի Philips, Osram կամ համարժեք, և դրայվերի պարամետրերը պետք է լինեն՝ 100 Վտ, չափսը՝ ոչ պակաս 175*68*45 մմ, INPUT-AC 220-240 Վ, 47.5-63 Հց, OUTPUT 46-143 Վ, 300mA -40+50C, ոչ պակաս IP65: Դրայվերները պետք է ունենան հատուկ պաշտպանիչ մեկուսիչ շերտ (ոչ պլաստիկ), 2025 թվականի արտադրության: Լուսատուների ալյումինե պատյանին պետք է փորագրված լինի «ՉԱՐԵՆՑԱՎԱՆ ՀԱՄԱՅՆՔ»: Փաթեթավորված, նոր, շահագործման ձեռնարկով (անձնագիր): Վաճառողը պետք է ապահովի լուսատուների պահեստամասերը՝ լուսատուների կյանքի նշված տևողությունն ապահովելու համար: Լուսատուները պետք է ունենան մոդելի և դրա տեխնիկական նկարագրի մասին տեղեկատվության հստակ նշում (հավելյալ կարող է նաև տրամադրվել տեղեկատվություն ԼԴ-ի, սնուցման սարքի և արտադրման երկրի մասին): Ապրանքի մատակարարման հետ միաժամանակ պետք է տրամադրվեն միացման սխեմաները և ցուցումները: Լուսատուները պետք է ապահովեն գեղագիտական տեսք, ունենան ժամանակակից տեսք: Երաշխիքային ժամկետը՝ ապրանքն ընդունվելու օրվան հաջորդող օրվանից հաշված առնվազն 5 տարի, հետերաշխիքային սպասարկումը՝ 2 տարի: Երաշխիքային սպասարկման ընթացքում լուսատուն պետք է նորոգվի երեք օրվա ընթացքում, ինչպես նաև խափանված լուսատուի  ապամոնտաժումը և տեղադրում պետք է կատարի Վաճառողը: Ապրանքների մատակարարման ժամանակ պետք է ներկայացնել լուսատուների համապատասխանության սերտիֆիկատը (համապատասխան նշված բնութագրի), որը կստուգվի Հայաստանի Հանրապետությունում գործող անկախ փորձագետի կողմից և կտրամադրվի համապատասխան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(գնդաձև ակացիաներ)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